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86B4" w14:textId="77777777" w:rsidR="005A6E6E" w:rsidRPr="00A81146" w:rsidRDefault="005A6E6E" w:rsidP="005A6E6E">
      <w:pPr>
        <w:pStyle w:val="a8"/>
        <w:widowControl w:val="0"/>
        <w:tabs>
          <w:tab w:val="left" w:pos="1134"/>
          <w:tab w:val="left" w:pos="1345"/>
        </w:tabs>
        <w:autoSpaceDE w:val="0"/>
        <w:autoSpaceDN w:val="0"/>
        <w:spacing w:after="0" w:line="240" w:lineRule="auto"/>
        <w:ind w:left="0" w:right="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ПРОЄКТ</w:t>
      </w:r>
    </w:p>
    <w:p w14:paraId="39BE0871" w14:textId="77777777" w:rsidR="005A6E6E" w:rsidRDefault="005A6E6E" w:rsidP="00A05811">
      <w:pPr>
        <w:spacing w:after="0" w:line="240" w:lineRule="auto"/>
        <w:ind w:firstLine="49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14:paraId="6DD47876" w14:textId="6B4F8249" w:rsidR="005A6E6E" w:rsidRPr="005A6E6E" w:rsidRDefault="005A6E6E" w:rsidP="00A05811">
      <w:pPr>
        <w:spacing w:after="0" w:line="240" w:lineRule="auto"/>
        <w:ind w:firstLine="49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E6E">
        <w:rPr>
          <w:rFonts w:ascii="Times New Roman" w:hAnsi="Times New Roman" w:cs="Times New Roman"/>
          <w:bCs/>
          <w:sz w:val="28"/>
          <w:szCs w:val="28"/>
        </w:rPr>
        <w:t xml:space="preserve">Додаток 1 </w:t>
      </w:r>
    </w:p>
    <w:p w14:paraId="0B1E353D" w14:textId="690656CD" w:rsidR="005A6E6E" w:rsidRDefault="005A6E6E" w:rsidP="00A05811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 Мар</w:t>
      </w:r>
      <w:r w:rsidRPr="00A20D8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янівської селищної ради від __ </w:t>
      </w:r>
      <w:r w:rsidR="00C84569">
        <w:rPr>
          <w:rFonts w:ascii="Times New Roman" w:hAnsi="Times New Roman" w:cs="Times New Roman"/>
          <w:sz w:val="28"/>
          <w:szCs w:val="28"/>
        </w:rPr>
        <w:t>листопада</w:t>
      </w:r>
      <w:r>
        <w:rPr>
          <w:rFonts w:ascii="Times New Roman" w:hAnsi="Times New Roman" w:cs="Times New Roman"/>
          <w:sz w:val="28"/>
          <w:szCs w:val="28"/>
        </w:rPr>
        <w:t xml:space="preserve"> 2025 року № ___</w:t>
      </w:r>
    </w:p>
    <w:p w14:paraId="20ED2E11" w14:textId="77777777" w:rsidR="005A6E6E" w:rsidRDefault="005A6E6E" w:rsidP="005A6E6E">
      <w:pPr>
        <w:tabs>
          <w:tab w:val="left" w:pos="7305"/>
        </w:tabs>
        <w:spacing w:after="12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460D11E6" w14:textId="77777777" w:rsidR="005A6E6E" w:rsidRDefault="005A6E6E" w:rsidP="005A6E6E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7E748895" w14:textId="77777777" w:rsidR="005A6E6E" w:rsidRDefault="005A6E6E" w:rsidP="005A6E6E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57A8A8C6" w14:textId="77777777" w:rsidR="005A6E6E" w:rsidRDefault="005A6E6E" w:rsidP="005A6E6E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7C5F9C74" w14:textId="77777777" w:rsidR="005A6E6E" w:rsidRDefault="005A6E6E" w:rsidP="005A6E6E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7B01F6E3" w14:textId="77777777" w:rsidR="005A6E6E" w:rsidRDefault="005A6E6E" w:rsidP="005A6E6E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15696046" w14:textId="77777777" w:rsidR="005A6E6E" w:rsidRDefault="005A6E6E" w:rsidP="005A6E6E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069F1003" w14:textId="77777777" w:rsidR="005A6E6E" w:rsidRPr="00747A90" w:rsidRDefault="005A6E6E" w:rsidP="005A6E6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програма</w:t>
      </w:r>
    </w:p>
    <w:p w14:paraId="64220DB2" w14:textId="2FBC974E" w:rsidR="005A6E6E" w:rsidRPr="005A6E6E" w:rsidRDefault="005A6E6E" w:rsidP="005A6E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E6E">
        <w:rPr>
          <w:rFonts w:ascii="Times New Roman" w:hAnsi="Times New Roman" w:cs="Times New Roman"/>
          <w:b/>
          <w:bCs/>
          <w:sz w:val="28"/>
          <w:szCs w:val="28"/>
        </w:rPr>
        <w:t>компенсації пільгових перевезень окремих категорій громадян на залізничному транспорті приміського сполучення на 2026-2028 роки</w:t>
      </w:r>
    </w:p>
    <w:p w14:paraId="09745BAE" w14:textId="77777777" w:rsidR="005A6E6E" w:rsidRDefault="005A6E6E" w:rsidP="005A6E6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FEDD8E8" w14:textId="77777777" w:rsidR="005A6E6E" w:rsidRDefault="005A6E6E" w:rsidP="005A6E6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2A72D0C" w14:textId="77777777" w:rsidR="005A6E6E" w:rsidRDefault="005A6E6E" w:rsidP="005A6E6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2780D5D" w14:textId="77777777" w:rsidR="005A6E6E" w:rsidRDefault="005A6E6E" w:rsidP="005A6E6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2A560C2" w14:textId="77777777" w:rsidR="005A6E6E" w:rsidRDefault="005A6E6E" w:rsidP="005A6E6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D7DC041" w14:textId="77777777" w:rsidR="005A6E6E" w:rsidRDefault="005A6E6E" w:rsidP="005A6E6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C4545EC" w14:textId="77777777" w:rsidR="005A6E6E" w:rsidRDefault="005A6E6E" w:rsidP="005A6E6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8982D14" w14:textId="77777777" w:rsidR="005A6E6E" w:rsidRDefault="005A6E6E" w:rsidP="005A6E6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1061089" w14:textId="77777777" w:rsidR="005A6E6E" w:rsidRDefault="005A6E6E" w:rsidP="005A6E6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0B5416C" w14:textId="77777777" w:rsidR="005A6E6E" w:rsidRDefault="005A6E6E" w:rsidP="005A6E6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49B8435" w14:textId="77777777" w:rsidR="005A6E6E" w:rsidRDefault="005A6E6E" w:rsidP="005A6E6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D2BB308" w14:textId="77777777" w:rsidR="005A6E6E" w:rsidRDefault="005A6E6E" w:rsidP="005A6E6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7AE63CD" w14:textId="77777777" w:rsidR="005A6E6E" w:rsidRDefault="005A6E6E" w:rsidP="005A6E6E">
      <w:pPr>
        <w:rPr>
          <w:rFonts w:ascii="Times New Roman" w:hAnsi="Times New Roman" w:cs="Times New Roman"/>
          <w:sz w:val="28"/>
          <w:szCs w:val="28"/>
        </w:rPr>
      </w:pPr>
    </w:p>
    <w:p w14:paraId="3EB661E3" w14:textId="77777777" w:rsidR="00A05811" w:rsidRDefault="005A6E6E" w:rsidP="005A6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2FD448AD" w14:textId="77777777" w:rsidR="00A05811" w:rsidRDefault="00A05811" w:rsidP="005A6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703EE4" w14:textId="77777777" w:rsidR="00A05811" w:rsidRDefault="00A05811" w:rsidP="005A6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DCC048" w14:textId="77777777" w:rsidR="00A05811" w:rsidRDefault="00A05811" w:rsidP="005A6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B7C330" w14:textId="77777777" w:rsidR="00A05811" w:rsidRDefault="00A05811" w:rsidP="005A6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378558" w14:textId="62C961BF" w:rsidR="005A6E6E" w:rsidRPr="00CF4263" w:rsidRDefault="005A6E6E" w:rsidP="00A058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селище Мар</w:t>
      </w:r>
      <w:r w:rsidRPr="00852A6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янівка</w:t>
      </w:r>
    </w:p>
    <w:p w14:paraId="1D0DAC27" w14:textId="16770180" w:rsidR="00684E65" w:rsidRPr="00A05811" w:rsidRDefault="005A6E6E" w:rsidP="00A058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рік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72267DC" w14:textId="6EBE41FA" w:rsidR="004D7B72" w:rsidRPr="00276056" w:rsidRDefault="00276056" w:rsidP="00276056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05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ПРОГРАМИ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664"/>
      </w:tblGrid>
      <w:tr w:rsidR="00684E65" w14:paraId="4BDE6856" w14:textId="77777777" w:rsidTr="00A91403">
        <w:tc>
          <w:tcPr>
            <w:tcW w:w="562" w:type="dxa"/>
          </w:tcPr>
          <w:p w14:paraId="2DCBD057" w14:textId="64453DEE" w:rsidR="00684E65" w:rsidRPr="000423C1" w:rsidRDefault="000423C1" w:rsidP="00F927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9277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7F045B8A" w14:textId="7C2CFE76" w:rsidR="00684E65" w:rsidRDefault="006E0F2E" w:rsidP="00A914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номер і назва розпорядчого до</w:t>
            </w:r>
            <w:r w:rsidR="00D550E4">
              <w:rPr>
                <w:rFonts w:ascii="Times New Roman" w:hAnsi="Times New Roman" w:cs="Times New Roman"/>
                <w:sz w:val="28"/>
                <w:szCs w:val="28"/>
              </w:rPr>
              <w:t>кумента при розроблені програми</w:t>
            </w:r>
          </w:p>
        </w:tc>
        <w:tc>
          <w:tcPr>
            <w:tcW w:w="5664" w:type="dxa"/>
          </w:tcPr>
          <w:p w14:paraId="6538B757" w14:textId="29C251D4" w:rsidR="00684E65" w:rsidRDefault="00E655B4" w:rsidP="00A914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України «Про залізничний транспорт»,</w:t>
            </w:r>
            <w:r>
              <w:t xml:space="preserve"> </w:t>
            </w:r>
            <w:r w:rsidRPr="00E655B4">
              <w:rPr>
                <w:rFonts w:ascii="Times New Roman" w:hAnsi="Times New Roman" w:cs="Times New Roman"/>
                <w:sz w:val="28"/>
                <w:szCs w:val="28"/>
              </w:rPr>
              <w:t>постанов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55B4">
              <w:rPr>
                <w:rFonts w:ascii="Times New Roman" w:hAnsi="Times New Roman" w:cs="Times New Roman"/>
                <w:sz w:val="28"/>
                <w:szCs w:val="28"/>
              </w:rPr>
              <w:t xml:space="preserve"> Кабінету Міністрів України </w:t>
            </w:r>
            <w:r w:rsidR="00F360C8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Pr="00E655B4">
              <w:rPr>
                <w:rFonts w:ascii="Times New Roman" w:hAnsi="Times New Roman" w:cs="Times New Roman"/>
                <w:sz w:val="28"/>
                <w:szCs w:val="28"/>
              </w:rPr>
              <w:t>16 грудня 2009 року №1359 «Про затвердження Порядку розрахунку обсягів компенсаційних виплат за пільгові перевезення залізничним транспортом окремих категорій громадян»</w:t>
            </w:r>
            <w:r w:rsidR="000423C1" w:rsidRPr="000423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="00D550E4" w:rsidRPr="00D550E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550E4">
              <w:rPr>
                <w:rFonts w:ascii="Times New Roman" w:hAnsi="Times New Roman" w:cs="Times New Roman"/>
                <w:sz w:val="28"/>
                <w:szCs w:val="28"/>
              </w:rPr>
              <w:t>аказ</w:t>
            </w:r>
            <w:r w:rsidRPr="00E655B4">
              <w:rPr>
                <w:rFonts w:ascii="Times New Roman" w:hAnsi="Times New Roman" w:cs="Times New Roman"/>
                <w:sz w:val="28"/>
                <w:szCs w:val="28"/>
              </w:rPr>
              <w:t xml:space="preserve"> Міністерства транспорту та зв’язку Ук</w:t>
            </w:r>
            <w:r w:rsidR="00D550E4">
              <w:rPr>
                <w:rFonts w:ascii="Times New Roman" w:hAnsi="Times New Roman" w:cs="Times New Roman"/>
                <w:sz w:val="28"/>
                <w:szCs w:val="28"/>
              </w:rPr>
              <w:t>раїни від 27 грудня 2006 року №</w:t>
            </w:r>
            <w:r w:rsidRPr="00E655B4">
              <w:rPr>
                <w:rFonts w:ascii="Times New Roman" w:hAnsi="Times New Roman" w:cs="Times New Roman"/>
                <w:sz w:val="28"/>
                <w:szCs w:val="28"/>
              </w:rPr>
              <w:t>1196</w:t>
            </w:r>
            <w:r w:rsidR="00D55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5B4">
              <w:rPr>
                <w:rFonts w:ascii="Times New Roman" w:hAnsi="Times New Roman" w:cs="Times New Roman"/>
                <w:sz w:val="28"/>
                <w:szCs w:val="28"/>
              </w:rPr>
              <w:t xml:space="preserve"> "Про затвердження Правил перевезення пасажирів, багажу, вантажобагажу та пошти залізничним транспортом України"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0F2E" w14:paraId="5148EED7" w14:textId="77777777" w:rsidTr="00A91403">
        <w:tc>
          <w:tcPr>
            <w:tcW w:w="562" w:type="dxa"/>
          </w:tcPr>
          <w:p w14:paraId="65734CE2" w14:textId="4F65CFB1" w:rsidR="006E0F2E" w:rsidRPr="000423C1" w:rsidRDefault="006E0F2E" w:rsidP="00F927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23C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F9277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13596541" w14:textId="5662C9A9" w:rsidR="006E0F2E" w:rsidRDefault="006E0F2E" w:rsidP="006E0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664" w:type="dxa"/>
          </w:tcPr>
          <w:p w14:paraId="678E1859" w14:textId="69E15E12" w:rsidR="006E0F2E" w:rsidRPr="00684E65" w:rsidRDefault="00276056" w:rsidP="00E653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</w:t>
            </w:r>
            <w:r w:rsidR="006E0F2E" w:rsidRPr="00684E65">
              <w:rPr>
                <w:rFonts w:ascii="Times New Roman" w:hAnsi="Times New Roman" w:cs="Times New Roman"/>
                <w:sz w:val="28"/>
                <w:szCs w:val="28"/>
              </w:rPr>
              <w:t xml:space="preserve"> соціального захисту населення селищної ради</w:t>
            </w:r>
            <w:r w:rsidR="00E65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0F2E" w14:paraId="01F8D384" w14:textId="77777777" w:rsidTr="00A91403">
        <w:tc>
          <w:tcPr>
            <w:tcW w:w="562" w:type="dxa"/>
          </w:tcPr>
          <w:p w14:paraId="00FFFCEA" w14:textId="0FDD994A" w:rsidR="006E0F2E" w:rsidRPr="000423C1" w:rsidRDefault="000423C1" w:rsidP="00F927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F9277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77963C1A" w14:textId="2F7C7FFC" w:rsidR="006E0F2E" w:rsidRDefault="006E0F2E" w:rsidP="006E0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Виконавці та учасники програми</w:t>
            </w:r>
          </w:p>
        </w:tc>
        <w:tc>
          <w:tcPr>
            <w:tcW w:w="5664" w:type="dxa"/>
          </w:tcPr>
          <w:p w14:paraId="598C99E5" w14:textId="4E5D336D" w:rsidR="006E0F2E" w:rsidRDefault="00276056" w:rsidP="00E655B4">
            <w:pPr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</w:t>
            </w:r>
            <w:r w:rsidR="006E0F2E">
              <w:rPr>
                <w:rFonts w:ascii="Times New Roman" w:hAnsi="Times New Roman" w:cs="Times New Roman"/>
                <w:sz w:val="28"/>
                <w:szCs w:val="28"/>
              </w:rPr>
              <w:t xml:space="preserve"> соціального захисту населення селищної ради, фінансовий відділ селищної ради, відділ бухгалтерського обліку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господарської діяльності</w:t>
            </w:r>
            <w:r w:rsidR="006E0F2E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філія «Приміська пасажирська компанія</w:t>
            </w:r>
            <w:r w:rsidR="00F927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7B72">
              <w:rPr>
                <w:rFonts w:ascii="Times New Roman" w:hAnsi="Times New Roman" w:cs="Times New Roman"/>
                <w:sz w:val="28"/>
                <w:szCs w:val="28"/>
              </w:rPr>
              <w:t>АТ «Укрзалізниця»</w:t>
            </w:r>
          </w:p>
        </w:tc>
      </w:tr>
      <w:tr w:rsidR="006E0F2E" w14:paraId="595846FC" w14:textId="77777777" w:rsidTr="00A91403">
        <w:tc>
          <w:tcPr>
            <w:tcW w:w="562" w:type="dxa"/>
          </w:tcPr>
          <w:p w14:paraId="10798458" w14:textId="434E5325" w:rsidR="006E0F2E" w:rsidRPr="000423C1" w:rsidRDefault="000423C1" w:rsidP="00F927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F9277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20D6CB62" w14:textId="48D7392F" w:rsidR="006E0F2E" w:rsidRDefault="006E0F2E" w:rsidP="006E0F2E">
            <w:pPr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664" w:type="dxa"/>
          </w:tcPr>
          <w:p w14:paraId="6B4536E8" w14:textId="72D0E16D" w:rsidR="006E0F2E" w:rsidRDefault="006E0F2E" w:rsidP="006E0F2E">
            <w:pPr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760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2760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6E0F2E" w14:paraId="76E98273" w14:textId="77777777" w:rsidTr="00821E17">
        <w:trPr>
          <w:trHeight w:val="789"/>
        </w:trPr>
        <w:tc>
          <w:tcPr>
            <w:tcW w:w="562" w:type="dxa"/>
          </w:tcPr>
          <w:p w14:paraId="6CA614F9" w14:textId="2ED8932D" w:rsidR="006E0F2E" w:rsidRPr="000423C1" w:rsidRDefault="000423C1" w:rsidP="00F927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F9277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3A7F8B25" w14:textId="5F792FA1" w:rsidR="006E0F2E" w:rsidRDefault="006E0F2E" w:rsidP="00821E17">
            <w:pPr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5664" w:type="dxa"/>
            <w:vAlign w:val="center"/>
          </w:tcPr>
          <w:p w14:paraId="4A09D97E" w14:textId="570D0CA5" w:rsidR="006E0F2E" w:rsidRDefault="006E0F2E" w:rsidP="00F360C8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Селищний бюджет</w:t>
            </w:r>
          </w:p>
        </w:tc>
      </w:tr>
      <w:tr w:rsidR="006E0F2E" w14:paraId="523FD163" w14:textId="77777777" w:rsidTr="00821E17">
        <w:tc>
          <w:tcPr>
            <w:tcW w:w="562" w:type="dxa"/>
          </w:tcPr>
          <w:p w14:paraId="01237525" w14:textId="4592EBEE" w:rsidR="006E0F2E" w:rsidRPr="000423C1" w:rsidRDefault="000423C1" w:rsidP="00F927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F9277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3436C81E" w14:textId="5A928B7B" w:rsidR="006E0F2E" w:rsidRDefault="006E0F2E" w:rsidP="006E0F2E">
            <w:pPr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фінансових ресурсів                    необхідних для                             </w:t>
            </w:r>
          </w:p>
          <w:p w14:paraId="4851AC5C" w14:textId="6BBD4D0A" w:rsidR="006E0F2E" w:rsidRDefault="006E0F2E" w:rsidP="006E0F2E">
            <w:pPr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реалізації програми</w:t>
            </w:r>
            <w:r w:rsidR="00D550E4">
              <w:rPr>
                <w:rFonts w:ascii="Times New Roman" w:hAnsi="Times New Roman" w:cs="Times New Roman"/>
                <w:sz w:val="28"/>
                <w:szCs w:val="28"/>
              </w:rPr>
              <w:t>, всього тис.грн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5664" w:type="dxa"/>
            <w:vAlign w:val="center"/>
          </w:tcPr>
          <w:p w14:paraId="5FBADBF5" w14:textId="060B8836" w:rsidR="006E0F2E" w:rsidRDefault="00276056" w:rsidP="00F360C8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53C1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 w:rsidR="00F360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04E2DCD" w14:textId="5460B105" w:rsidR="006E0F2E" w:rsidRDefault="006E0F2E" w:rsidP="00821E17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250FBA" w14:textId="77777777" w:rsidR="00821E17" w:rsidRDefault="00821E17" w:rsidP="00E653C1">
      <w:pPr>
        <w:tabs>
          <w:tab w:val="center" w:pos="481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FDFEE6" w14:textId="77777777" w:rsidR="00276056" w:rsidRDefault="00276056" w:rsidP="000423C1">
      <w:pPr>
        <w:tabs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3E61A9" w14:textId="77777777" w:rsidR="00276056" w:rsidRDefault="00276056" w:rsidP="000423C1">
      <w:pPr>
        <w:tabs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4B6A3F" w14:textId="77777777" w:rsidR="00276056" w:rsidRDefault="00276056" w:rsidP="000423C1">
      <w:pPr>
        <w:tabs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CDA5C2" w14:textId="77777777" w:rsidR="00276056" w:rsidRDefault="00276056" w:rsidP="000423C1">
      <w:pPr>
        <w:tabs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3EA2A0" w14:textId="77777777" w:rsidR="00276056" w:rsidRDefault="00276056" w:rsidP="000423C1">
      <w:pPr>
        <w:tabs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38DF15" w14:textId="77777777" w:rsidR="00276056" w:rsidRDefault="00276056" w:rsidP="000423C1">
      <w:pPr>
        <w:tabs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EF2F45" w14:textId="77777777" w:rsidR="00276056" w:rsidRDefault="00276056" w:rsidP="000423C1">
      <w:pPr>
        <w:tabs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35AFBE" w14:textId="77777777" w:rsidR="00276056" w:rsidRDefault="00276056" w:rsidP="000423C1">
      <w:pPr>
        <w:tabs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10BB0E" w14:textId="77777777" w:rsidR="002566E7" w:rsidRDefault="002566E7" w:rsidP="002566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884C2" w14:textId="77777777" w:rsidR="002566E7" w:rsidRDefault="002566E7" w:rsidP="002566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5E217" w14:textId="77777777" w:rsidR="002566E7" w:rsidRDefault="002566E7" w:rsidP="002566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2F2FD" w14:textId="77777777" w:rsidR="002566E7" w:rsidRPr="002566E7" w:rsidRDefault="002566E7" w:rsidP="002566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0C8D8" w14:textId="0FA005F1" w:rsidR="00276056" w:rsidRPr="004D7B72" w:rsidRDefault="00276056" w:rsidP="00276056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B7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Загальна характеристика Програми</w:t>
      </w:r>
    </w:p>
    <w:p w14:paraId="5D0C8896" w14:textId="77777777" w:rsidR="00276056" w:rsidRDefault="00276056" w:rsidP="000423C1">
      <w:pPr>
        <w:tabs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F38407" w14:textId="4FA3E171" w:rsidR="00975655" w:rsidRPr="00A91403" w:rsidRDefault="00975655" w:rsidP="002566E7">
      <w:pPr>
        <w:tabs>
          <w:tab w:val="center" w:pos="48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з Законом України «Про залізничний транспорт» пільгові перевезення пасажирів, які відповідно до законодавства користуються такими правами, забезпечують перевізники, </w:t>
      </w:r>
      <w:r w:rsidR="00175C4A"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зд</w:t>
      </w:r>
      <w:r w:rsidR="00A5111E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йснюють</w:t>
      </w:r>
      <w:r w:rsidR="0093696F">
        <w:rPr>
          <w:rFonts w:ascii="Times New Roman" w:hAnsi="Times New Roman" w:cs="Times New Roman"/>
          <w:sz w:val="28"/>
          <w:szCs w:val="28"/>
        </w:rPr>
        <w:t xml:space="preserve"> перевезення пасажирів на залізничному транспорті приміського сполучення. Органи місцевого</w:t>
      </w:r>
      <w:r w:rsidR="005153B7" w:rsidRPr="005153B7">
        <w:rPr>
          <w:rFonts w:ascii="Times New Roman" w:hAnsi="Times New Roman" w:cs="Times New Roman"/>
          <w:sz w:val="28"/>
          <w:szCs w:val="28"/>
        </w:rPr>
        <w:t xml:space="preserve"> </w:t>
      </w:r>
      <w:r w:rsidR="005153B7">
        <w:rPr>
          <w:rFonts w:ascii="Times New Roman" w:hAnsi="Times New Roman" w:cs="Times New Roman"/>
          <w:sz w:val="28"/>
          <w:szCs w:val="28"/>
        </w:rPr>
        <w:t>самоврядування</w:t>
      </w:r>
      <w:r w:rsidR="0093696F">
        <w:rPr>
          <w:rFonts w:ascii="Times New Roman" w:hAnsi="Times New Roman" w:cs="Times New Roman"/>
          <w:sz w:val="28"/>
          <w:szCs w:val="28"/>
        </w:rPr>
        <w:t xml:space="preserve"> </w:t>
      </w:r>
      <w:r w:rsidR="00F135F2">
        <w:rPr>
          <w:rFonts w:ascii="Times New Roman" w:hAnsi="Times New Roman" w:cs="Times New Roman"/>
          <w:sz w:val="28"/>
          <w:szCs w:val="28"/>
        </w:rPr>
        <w:t>відшкодовують (сплачують) перевізникам, які здійснюють пільгові перевезення пасажирів та перевезення пасажирів за регульованими тарифами, компенсацію відповідно до Закону.</w:t>
      </w:r>
    </w:p>
    <w:p w14:paraId="7B430753" w14:textId="77777777" w:rsidR="005153B7" w:rsidRDefault="003A01FC" w:rsidP="00256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Закону України від 20 грудня 2016 року №1789-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«Про внесення змін до Бюджетного Кодексу України», який набрав чинності 1 січня 2017 року, компенсаційні витрати перевізникам за перевезення окремих категорій громадян здійснюються за рахунок коштів місцевих бюджетів.</w:t>
      </w:r>
    </w:p>
    <w:p w14:paraId="04AF9FB2" w14:textId="2319B55D" w:rsidR="00612E0F" w:rsidRDefault="003A01FC" w:rsidP="00256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компенсації пільгових перевезень окремих категорій громадян на залізничному транспорті </w:t>
      </w:r>
      <w:r w:rsidR="00D550E4">
        <w:rPr>
          <w:rFonts w:ascii="Times New Roman" w:hAnsi="Times New Roman" w:cs="Times New Roman"/>
          <w:sz w:val="28"/>
          <w:szCs w:val="28"/>
        </w:rPr>
        <w:t xml:space="preserve">приміського сполучення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2566E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566E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роки </w:t>
      </w:r>
      <w:r w:rsidR="00D550E4">
        <w:rPr>
          <w:rFonts w:ascii="Times New Roman" w:hAnsi="Times New Roman" w:cs="Times New Roman"/>
          <w:sz w:val="28"/>
          <w:szCs w:val="28"/>
        </w:rPr>
        <w:t xml:space="preserve"> (далі –Програма) 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організацію відшкодування перевізнику вартості пільгового перевезення </w:t>
      </w:r>
      <w:r w:rsidR="00A5111E">
        <w:rPr>
          <w:rFonts w:ascii="Times New Roman" w:hAnsi="Times New Roman" w:cs="Times New Roman"/>
          <w:sz w:val="28"/>
          <w:szCs w:val="28"/>
        </w:rPr>
        <w:t xml:space="preserve">окремих категорій громадян, яким законодавством України надано право безоплатного проїзду. </w:t>
      </w:r>
    </w:p>
    <w:p w14:paraId="3743C20F" w14:textId="142B6F7C" w:rsidR="00E653C1" w:rsidRPr="00F721F8" w:rsidRDefault="00E653C1" w:rsidP="002566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21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ході реалізації Програми можливі зміни та доповнення до її змісту в залежності від рівня  розвитку економіки </w:t>
      </w:r>
      <w:r w:rsidR="00144E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селищної територіальної громади</w:t>
      </w:r>
      <w:r w:rsidRPr="00F721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наповнення доходної частини бюджету, змін чинного законодавства.</w:t>
      </w:r>
    </w:p>
    <w:p w14:paraId="3D788829" w14:textId="77777777" w:rsidR="00E653C1" w:rsidRPr="00F721F8" w:rsidRDefault="00E653C1" w:rsidP="002566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21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Виконання зазначеної Програми забезпечить скоординовані дії влади, розпорядників коштів та перевізників з надання послуг із безкоштовного перевезення пільгових категорій громадян.</w:t>
      </w:r>
    </w:p>
    <w:p w14:paraId="6FFB5B68" w14:textId="36E1F372" w:rsidR="00434631" w:rsidRDefault="00434631" w:rsidP="000423C1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636C54">
        <w:rPr>
          <w:rFonts w:ascii="Times New Roman" w:hAnsi="Times New Roman" w:cs="Times New Roman"/>
          <w:b/>
          <w:bCs/>
          <w:sz w:val="28"/>
          <w:szCs w:val="28"/>
        </w:rPr>
        <w:t>Мета Програми</w:t>
      </w:r>
    </w:p>
    <w:p w14:paraId="21E6AC5C" w14:textId="2185D1FC" w:rsidR="00B0052E" w:rsidRDefault="00636C54" w:rsidP="000423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Програми є реалізація державної політики в галузі соціального захисту окремих категорій населення </w:t>
      </w:r>
      <w:r w:rsidR="00AB1174">
        <w:rPr>
          <w:rFonts w:ascii="Times New Roman" w:hAnsi="Times New Roman" w:cs="Times New Roman"/>
          <w:sz w:val="28"/>
          <w:szCs w:val="28"/>
        </w:rPr>
        <w:t>Мар</w:t>
      </w:r>
      <w:r w:rsidR="00AB1174" w:rsidRPr="00AB1174">
        <w:rPr>
          <w:rFonts w:ascii="Times New Roman" w:hAnsi="Times New Roman" w:cs="Times New Roman"/>
          <w:sz w:val="28"/>
          <w:szCs w:val="28"/>
        </w:rPr>
        <w:t>’</w:t>
      </w:r>
      <w:r w:rsidR="00AB1174">
        <w:rPr>
          <w:rFonts w:ascii="Times New Roman" w:hAnsi="Times New Roman" w:cs="Times New Roman"/>
          <w:sz w:val="28"/>
          <w:szCs w:val="28"/>
        </w:rPr>
        <w:t>янівс</w:t>
      </w:r>
      <w:r>
        <w:rPr>
          <w:rFonts w:ascii="Times New Roman" w:hAnsi="Times New Roman" w:cs="Times New Roman"/>
          <w:sz w:val="28"/>
          <w:szCs w:val="28"/>
        </w:rPr>
        <w:t xml:space="preserve">ької </w:t>
      </w:r>
      <w:r w:rsidR="00E653C1">
        <w:rPr>
          <w:rFonts w:ascii="Times New Roman" w:hAnsi="Times New Roman" w:cs="Times New Roman"/>
          <w:sz w:val="28"/>
          <w:szCs w:val="28"/>
        </w:rPr>
        <w:t xml:space="preserve">селищної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 громади шляхом фінансового забезпечення </w:t>
      </w:r>
      <w:r w:rsidR="00B0052E">
        <w:rPr>
          <w:rFonts w:ascii="Times New Roman" w:hAnsi="Times New Roman" w:cs="Times New Roman"/>
          <w:sz w:val="28"/>
          <w:szCs w:val="28"/>
        </w:rPr>
        <w:t xml:space="preserve">компенсації пільгового проїзду окремих категорій громадян на залізничному транспорті приміського сполучення за рахунок коштів </w:t>
      </w:r>
      <w:r w:rsidR="00144E44">
        <w:rPr>
          <w:rFonts w:ascii="Times New Roman" w:hAnsi="Times New Roman" w:cs="Times New Roman"/>
          <w:sz w:val="28"/>
          <w:szCs w:val="28"/>
        </w:rPr>
        <w:t>селищного</w:t>
      </w:r>
      <w:r w:rsidR="00B0052E">
        <w:rPr>
          <w:rFonts w:ascii="Times New Roman" w:hAnsi="Times New Roman" w:cs="Times New Roman"/>
          <w:sz w:val="28"/>
          <w:szCs w:val="28"/>
        </w:rPr>
        <w:t xml:space="preserve"> бюджету.</w:t>
      </w:r>
    </w:p>
    <w:p w14:paraId="26D41490" w14:textId="77777777" w:rsidR="00E655B4" w:rsidRDefault="00B0052E" w:rsidP="00E655B4">
      <w:pPr>
        <w:tabs>
          <w:tab w:val="left" w:pos="32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52E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Завдання Програми</w:t>
      </w:r>
    </w:p>
    <w:p w14:paraId="09725852" w14:textId="77777777" w:rsidR="00C07BE8" w:rsidRPr="00C07BE8" w:rsidRDefault="00B0052E" w:rsidP="000423C1">
      <w:pPr>
        <w:tabs>
          <w:tab w:val="left" w:pos="32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Зниження соціальної напруги серед населення громади, якому гарантовано право на пільговий проїзд в залізничному транспорті приміського сполучення законодавчими актами України.</w:t>
      </w:r>
    </w:p>
    <w:p w14:paraId="56DA7728" w14:textId="02B2FFFC" w:rsidR="00B0052E" w:rsidRDefault="00B0052E" w:rsidP="000423C1">
      <w:pPr>
        <w:tabs>
          <w:tab w:val="left" w:pos="32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Компенсація вартості перевезень </w:t>
      </w:r>
      <w:r w:rsidR="005B6E5E">
        <w:rPr>
          <w:rFonts w:ascii="Times New Roman" w:hAnsi="Times New Roman" w:cs="Times New Roman"/>
          <w:sz w:val="28"/>
          <w:szCs w:val="28"/>
        </w:rPr>
        <w:t xml:space="preserve">окремих категорій громадян на залізничному транспорті приміського сполучення за рахунок коштів </w:t>
      </w:r>
      <w:r w:rsidR="00144E44">
        <w:rPr>
          <w:rFonts w:ascii="Times New Roman" w:hAnsi="Times New Roman" w:cs="Times New Roman"/>
          <w:sz w:val="28"/>
          <w:szCs w:val="28"/>
        </w:rPr>
        <w:t xml:space="preserve">селищного </w:t>
      </w:r>
      <w:r w:rsidR="005B6E5E">
        <w:rPr>
          <w:rFonts w:ascii="Times New Roman" w:hAnsi="Times New Roman" w:cs="Times New Roman"/>
          <w:sz w:val="28"/>
          <w:szCs w:val="28"/>
        </w:rPr>
        <w:t>бюджету згідно з укладеним з підприємством-перевізником</w:t>
      </w:r>
      <w:r w:rsidR="00434631">
        <w:rPr>
          <w:rFonts w:ascii="Times New Roman" w:hAnsi="Times New Roman" w:cs="Times New Roman"/>
          <w:sz w:val="28"/>
          <w:szCs w:val="28"/>
        </w:rPr>
        <w:t xml:space="preserve"> договором</w:t>
      </w:r>
      <w:r w:rsidR="005B6E5E">
        <w:rPr>
          <w:rFonts w:ascii="Times New Roman" w:hAnsi="Times New Roman" w:cs="Times New Roman"/>
          <w:sz w:val="28"/>
          <w:szCs w:val="28"/>
        </w:rPr>
        <w:t>.</w:t>
      </w:r>
    </w:p>
    <w:p w14:paraId="38F206CB" w14:textId="0E524DF8" w:rsidR="005B6E5E" w:rsidRDefault="005B6E5E" w:rsidP="000423C1">
      <w:pPr>
        <w:tabs>
          <w:tab w:val="left" w:pos="3212"/>
        </w:tabs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0052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Механізм реалізації Програми</w:t>
      </w:r>
    </w:p>
    <w:p w14:paraId="5A4BAF87" w14:textId="6AC8FBC1" w:rsidR="004D6ABA" w:rsidRDefault="005B6E5E" w:rsidP="00A6709C">
      <w:pPr>
        <w:tabs>
          <w:tab w:val="left" w:pos="32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E5E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проведення розрахунку обсягів компенсаційних виплат</w:t>
      </w:r>
      <w:r w:rsidR="00F360C8" w:rsidRPr="00F360C8">
        <w:t xml:space="preserve"> </w:t>
      </w:r>
      <w:r w:rsidR="00A6709C">
        <w:rPr>
          <w:rFonts w:ascii="Times New Roman" w:hAnsi="Times New Roman" w:cs="Times New Roman"/>
          <w:sz w:val="28"/>
          <w:szCs w:val="28"/>
        </w:rPr>
        <w:t xml:space="preserve">філії «Приміська пасажирська компанія» АТ «Укрзалізниця» </w:t>
      </w:r>
      <w:r w:rsidR="00244B30">
        <w:rPr>
          <w:rFonts w:ascii="Times New Roman" w:hAnsi="Times New Roman" w:cs="Times New Roman"/>
          <w:sz w:val="28"/>
          <w:szCs w:val="28"/>
        </w:rPr>
        <w:t xml:space="preserve">за безоплатний проїзд </w:t>
      </w:r>
      <w:r w:rsidR="00244B30">
        <w:rPr>
          <w:rFonts w:ascii="Times New Roman" w:hAnsi="Times New Roman" w:cs="Times New Roman"/>
          <w:sz w:val="28"/>
          <w:szCs w:val="28"/>
        </w:rPr>
        <w:lastRenderedPageBreak/>
        <w:t>на приміських по</w:t>
      </w:r>
      <w:r w:rsidR="00D550E4">
        <w:rPr>
          <w:rFonts w:ascii="Times New Roman" w:hAnsi="Times New Roman" w:cs="Times New Roman"/>
          <w:sz w:val="28"/>
          <w:szCs w:val="28"/>
        </w:rPr>
        <w:t>тягах</w:t>
      </w:r>
      <w:r w:rsidR="00244B30">
        <w:rPr>
          <w:rFonts w:ascii="Times New Roman" w:hAnsi="Times New Roman" w:cs="Times New Roman"/>
          <w:sz w:val="28"/>
          <w:szCs w:val="28"/>
        </w:rPr>
        <w:t xml:space="preserve"> окремих категорій громадян визначає процедуру прийняття від суб’єкт</w:t>
      </w:r>
      <w:r w:rsidR="009F16CB">
        <w:rPr>
          <w:rFonts w:ascii="Times New Roman" w:hAnsi="Times New Roman" w:cs="Times New Roman"/>
          <w:sz w:val="28"/>
          <w:szCs w:val="28"/>
        </w:rPr>
        <w:t xml:space="preserve">ів, які </w:t>
      </w:r>
      <w:r w:rsidR="00BE3B59">
        <w:rPr>
          <w:rFonts w:ascii="Times New Roman" w:hAnsi="Times New Roman" w:cs="Times New Roman"/>
          <w:sz w:val="28"/>
          <w:szCs w:val="28"/>
        </w:rPr>
        <w:t>здійснюють перевезення громадян, щомісячних облікових форм про недоотриман</w:t>
      </w:r>
      <w:r w:rsidR="00434631">
        <w:rPr>
          <w:rFonts w:ascii="Times New Roman" w:hAnsi="Times New Roman" w:cs="Times New Roman"/>
          <w:sz w:val="28"/>
          <w:szCs w:val="28"/>
        </w:rPr>
        <w:t>і</w:t>
      </w:r>
      <w:r w:rsidR="00BE3B59">
        <w:rPr>
          <w:rFonts w:ascii="Times New Roman" w:hAnsi="Times New Roman" w:cs="Times New Roman"/>
          <w:sz w:val="28"/>
          <w:szCs w:val="28"/>
        </w:rPr>
        <w:t xml:space="preserve"> кошти за перевезення залізничним транспортом окремих категорій громадян, створених на основі відомостей продажу квитків.</w:t>
      </w:r>
    </w:p>
    <w:p w14:paraId="7DB7D0B9" w14:textId="2D43A58A" w:rsidR="00E454F5" w:rsidRDefault="00E454F5" w:rsidP="00A6709C">
      <w:pPr>
        <w:tabs>
          <w:tab w:val="left" w:pos="32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рахунок коштів бюджету здійснюється компенсація виплат від безоплатних перевезень окремих категорій громадян на залізничному транспорті приміського сполучення. </w:t>
      </w:r>
    </w:p>
    <w:p w14:paraId="1E9C3C73" w14:textId="5E1E7B59" w:rsidR="00E454F5" w:rsidRDefault="00E454F5" w:rsidP="00A6709C">
      <w:pPr>
        <w:tabs>
          <w:tab w:val="left" w:pos="32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Проведення компенсаційних виплат за проїзд окремих категорій громадян залізничним транспортом приміського сполучення здійснюється відповідно до постанови Кабінету Міністрів України </w:t>
      </w:r>
      <w:r w:rsidR="00D550E4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16 грудня 2009 року №1359 «Про затвердження Порядку розрахунку обсягів компенсаційних виплат за пільгові перевезення залізничним транспортом окремих категорій громадян».</w:t>
      </w:r>
    </w:p>
    <w:p w14:paraId="12C2F996" w14:textId="29413BB0" w:rsidR="00F53C0C" w:rsidRDefault="00F53C0C" w:rsidP="00A6709C">
      <w:pPr>
        <w:tabs>
          <w:tab w:val="left" w:pos="32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Компенсація витрат за виконання безоплатних перевезень окремих категорій пасажирів здійснюється на підставі укладеного підприємством – перевізником договору з </w:t>
      </w:r>
      <w:r w:rsidR="00A6709C">
        <w:rPr>
          <w:rFonts w:ascii="Times New Roman" w:hAnsi="Times New Roman" w:cs="Times New Roman"/>
          <w:sz w:val="28"/>
          <w:szCs w:val="28"/>
        </w:rPr>
        <w:t>Мар</w:t>
      </w:r>
      <w:r w:rsidR="00A6709C" w:rsidRPr="00A6709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A6709C">
        <w:rPr>
          <w:rFonts w:ascii="Times New Roman" w:hAnsi="Times New Roman" w:cs="Times New Roman"/>
          <w:sz w:val="28"/>
          <w:szCs w:val="28"/>
        </w:rPr>
        <w:t>янівс</w:t>
      </w:r>
      <w:r>
        <w:rPr>
          <w:rFonts w:ascii="Times New Roman" w:hAnsi="Times New Roman" w:cs="Times New Roman"/>
          <w:sz w:val="28"/>
          <w:szCs w:val="28"/>
        </w:rPr>
        <w:t>ькою селищною радою.</w:t>
      </w:r>
      <w:r w:rsidR="005F38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D24C8E" w14:textId="77777777" w:rsidR="00A6709C" w:rsidRDefault="00A6709C" w:rsidP="00A6709C">
      <w:pPr>
        <w:tabs>
          <w:tab w:val="left" w:pos="32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0F1AE9" w14:textId="190C90CF" w:rsidR="00F53C0C" w:rsidRPr="00F53C0C" w:rsidRDefault="00F53C0C" w:rsidP="005F3834">
      <w:pPr>
        <w:tabs>
          <w:tab w:val="left" w:pos="32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5018319"/>
      <w:r w:rsidRPr="00F53C0C">
        <w:rPr>
          <w:rFonts w:ascii="Times New Roman" w:hAnsi="Times New Roman" w:cs="Times New Roman"/>
          <w:b/>
          <w:bCs/>
          <w:sz w:val="28"/>
          <w:szCs w:val="28"/>
        </w:rPr>
        <w:t>5</w:t>
      </w:r>
      <w:bookmarkEnd w:id="0"/>
      <w:r w:rsidRPr="00F53C0C">
        <w:rPr>
          <w:rFonts w:ascii="Times New Roman" w:hAnsi="Times New Roman" w:cs="Times New Roman"/>
          <w:b/>
          <w:bCs/>
          <w:sz w:val="28"/>
          <w:szCs w:val="28"/>
        </w:rPr>
        <w:t>. Джерела та обсяг фінансування заходів Програми</w:t>
      </w:r>
    </w:p>
    <w:p w14:paraId="6339F163" w14:textId="2FF97C68" w:rsidR="005544C2" w:rsidRDefault="00F53C0C" w:rsidP="00A6709C">
      <w:pPr>
        <w:tabs>
          <w:tab w:val="left" w:pos="32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Фінансове забезпечення Програми здійснюється за рахунок коштів </w:t>
      </w:r>
      <w:r w:rsidR="005544C2">
        <w:rPr>
          <w:rFonts w:ascii="Times New Roman" w:hAnsi="Times New Roman" w:cs="Times New Roman"/>
          <w:sz w:val="28"/>
          <w:szCs w:val="28"/>
        </w:rPr>
        <w:t xml:space="preserve">селищного </w:t>
      </w:r>
      <w:r w:rsidR="007B6513">
        <w:rPr>
          <w:rFonts w:ascii="Times New Roman" w:hAnsi="Times New Roman" w:cs="Times New Roman"/>
          <w:sz w:val="28"/>
          <w:szCs w:val="28"/>
        </w:rPr>
        <w:t>бюджету в межах видатків, затверджени</w:t>
      </w:r>
      <w:r w:rsidR="00D550E4">
        <w:rPr>
          <w:rFonts w:ascii="Times New Roman" w:hAnsi="Times New Roman" w:cs="Times New Roman"/>
          <w:sz w:val="28"/>
          <w:szCs w:val="28"/>
        </w:rPr>
        <w:t xml:space="preserve">х </w:t>
      </w:r>
      <w:r w:rsidR="005F3834">
        <w:rPr>
          <w:rFonts w:ascii="Times New Roman" w:hAnsi="Times New Roman" w:cs="Times New Roman"/>
          <w:sz w:val="28"/>
          <w:szCs w:val="28"/>
        </w:rPr>
        <w:t>селищним</w:t>
      </w:r>
      <w:r w:rsidR="007B6513">
        <w:rPr>
          <w:rFonts w:ascii="Times New Roman" w:hAnsi="Times New Roman" w:cs="Times New Roman"/>
          <w:sz w:val="28"/>
          <w:szCs w:val="28"/>
        </w:rPr>
        <w:t xml:space="preserve"> бюджетом </w:t>
      </w:r>
      <w:r w:rsidR="005544C2">
        <w:rPr>
          <w:rFonts w:ascii="Times New Roman" w:hAnsi="Times New Roman" w:cs="Times New Roman"/>
          <w:sz w:val="28"/>
          <w:szCs w:val="28"/>
        </w:rPr>
        <w:t xml:space="preserve">на поточний рік </w:t>
      </w:r>
      <w:r w:rsidR="007B6513">
        <w:rPr>
          <w:rFonts w:ascii="Times New Roman" w:hAnsi="Times New Roman" w:cs="Times New Roman"/>
          <w:sz w:val="28"/>
          <w:szCs w:val="28"/>
        </w:rPr>
        <w:t xml:space="preserve">за відповідним напрямком, виходячи з </w:t>
      </w:r>
      <w:r w:rsidR="005544C2">
        <w:rPr>
          <w:rFonts w:ascii="Times New Roman" w:hAnsi="Times New Roman" w:cs="Times New Roman"/>
          <w:sz w:val="28"/>
          <w:szCs w:val="28"/>
        </w:rPr>
        <w:t xml:space="preserve">реальних </w:t>
      </w:r>
      <w:r w:rsidR="007B6513">
        <w:rPr>
          <w:rFonts w:ascii="Times New Roman" w:hAnsi="Times New Roman" w:cs="Times New Roman"/>
          <w:sz w:val="28"/>
          <w:szCs w:val="28"/>
        </w:rPr>
        <w:t>фінансових можливостей</w:t>
      </w:r>
      <w:r w:rsidR="005544C2">
        <w:rPr>
          <w:rFonts w:ascii="Times New Roman" w:hAnsi="Times New Roman" w:cs="Times New Roman"/>
          <w:sz w:val="28"/>
          <w:szCs w:val="28"/>
        </w:rPr>
        <w:t>.</w:t>
      </w:r>
    </w:p>
    <w:p w14:paraId="7896A359" w14:textId="109622D0" w:rsidR="005F3834" w:rsidRDefault="005544C2" w:rsidP="00A6709C">
      <w:pPr>
        <w:tabs>
          <w:tab w:val="left" w:pos="32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Видатки на виконання заходів Програми передбачають при формуванні чи при уточненні показників селищного бюджету. </w:t>
      </w:r>
      <w:r w:rsidR="007B65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B577BB" w14:textId="4F659C86" w:rsidR="007569F8" w:rsidRDefault="007569F8" w:rsidP="000423C1">
      <w:pPr>
        <w:tabs>
          <w:tab w:val="left" w:pos="3212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Координація та контроль за виконання Програми</w:t>
      </w:r>
    </w:p>
    <w:p w14:paraId="1172E4B2" w14:textId="5FA40FCF" w:rsidR="007569F8" w:rsidRDefault="007569F8" w:rsidP="00A6709C">
      <w:pPr>
        <w:tabs>
          <w:tab w:val="left" w:pos="32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9F8">
        <w:rPr>
          <w:rFonts w:ascii="Times New Roman" w:hAnsi="Times New Roman" w:cs="Times New Roman"/>
          <w:sz w:val="28"/>
          <w:szCs w:val="28"/>
        </w:rPr>
        <w:t>Координацію</w:t>
      </w:r>
      <w:r>
        <w:rPr>
          <w:rFonts w:ascii="Times New Roman" w:hAnsi="Times New Roman" w:cs="Times New Roman"/>
          <w:sz w:val="28"/>
          <w:szCs w:val="28"/>
        </w:rPr>
        <w:t xml:space="preserve"> ходу виконання Програми здійснює </w:t>
      </w:r>
      <w:r w:rsidR="00A6709C">
        <w:rPr>
          <w:rFonts w:ascii="Times New Roman" w:hAnsi="Times New Roman" w:cs="Times New Roman"/>
          <w:sz w:val="28"/>
          <w:szCs w:val="28"/>
        </w:rPr>
        <w:t>сектор</w:t>
      </w:r>
      <w:r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 </w:t>
      </w:r>
      <w:r w:rsidR="00A6709C">
        <w:rPr>
          <w:rFonts w:ascii="Times New Roman" w:hAnsi="Times New Roman" w:cs="Times New Roman"/>
          <w:sz w:val="28"/>
          <w:szCs w:val="28"/>
        </w:rPr>
        <w:t>Мар</w:t>
      </w:r>
      <w:r w:rsidR="00A6709C" w:rsidRPr="00A6709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A6709C">
        <w:rPr>
          <w:rFonts w:ascii="Times New Roman" w:hAnsi="Times New Roman" w:cs="Times New Roman"/>
          <w:sz w:val="28"/>
          <w:szCs w:val="28"/>
        </w:rPr>
        <w:t>янівс</w:t>
      </w:r>
      <w:r>
        <w:rPr>
          <w:rFonts w:ascii="Times New Roman" w:hAnsi="Times New Roman" w:cs="Times New Roman"/>
          <w:sz w:val="28"/>
          <w:szCs w:val="28"/>
        </w:rPr>
        <w:t>ької селищної ради.</w:t>
      </w:r>
    </w:p>
    <w:p w14:paraId="7B267876" w14:textId="61DD88B3" w:rsidR="007569F8" w:rsidRDefault="007569F8" w:rsidP="00A6709C">
      <w:pPr>
        <w:tabs>
          <w:tab w:val="left" w:pos="32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 Програми здійснює постійна комісія </w:t>
      </w:r>
      <w:r w:rsidR="00D550E4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A6709C" w:rsidRPr="00641AD4">
        <w:rPr>
          <w:rFonts w:ascii="Times New Roman" w:hAnsi="Times New Roman"/>
          <w:sz w:val="28"/>
          <w:szCs w:val="28"/>
        </w:rPr>
        <w:t>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</w:r>
      <w:r w:rsidR="00D550E4">
        <w:rPr>
          <w:rFonts w:ascii="Times New Roman" w:hAnsi="Times New Roman" w:cs="Times New Roman"/>
          <w:sz w:val="28"/>
          <w:szCs w:val="28"/>
        </w:rPr>
        <w:t>.</w:t>
      </w:r>
    </w:p>
    <w:p w14:paraId="23FD83BF" w14:textId="77777777" w:rsidR="00A6709C" w:rsidRDefault="00A6709C" w:rsidP="00A6709C">
      <w:pPr>
        <w:tabs>
          <w:tab w:val="left" w:pos="32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35F8B5" w14:textId="077FD1B1" w:rsidR="007569F8" w:rsidRDefault="007569F8" w:rsidP="00F360C8">
      <w:pPr>
        <w:tabs>
          <w:tab w:val="left" w:pos="32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Очікувані результати від виконання Програми</w:t>
      </w:r>
    </w:p>
    <w:p w14:paraId="01856ACF" w14:textId="7664972C" w:rsidR="007569F8" w:rsidRDefault="007569F8" w:rsidP="000423C1">
      <w:pPr>
        <w:tabs>
          <w:tab w:val="left" w:pos="32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9F8">
        <w:rPr>
          <w:rFonts w:ascii="Times New Roman" w:hAnsi="Times New Roman" w:cs="Times New Roman"/>
          <w:sz w:val="28"/>
          <w:szCs w:val="28"/>
        </w:rPr>
        <w:t xml:space="preserve">Реалізація </w:t>
      </w:r>
      <w:r>
        <w:rPr>
          <w:rFonts w:ascii="Times New Roman" w:hAnsi="Times New Roman" w:cs="Times New Roman"/>
          <w:sz w:val="28"/>
          <w:szCs w:val="28"/>
        </w:rPr>
        <w:t xml:space="preserve">Програми дасть змогу забезпечити окремі категорії громадян пільговим проїздом на залізничному транспорті приміського сполучення та отримати </w:t>
      </w:r>
      <w:r w:rsidR="00213B95">
        <w:rPr>
          <w:rFonts w:ascii="Times New Roman" w:hAnsi="Times New Roman" w:cs="Times New Roman"/>
          <w:sz w:val="28"/>
          <w:szCs w:val="28"/>
        </w:rPr>
        <w:t>підприємством – перевізником відшкодування втрачених доходів.</w:t>
      </w:r>
    </w:p>
    <w:p w14:paraId="4F1DD159" w14:textId="77777777" w:rsidR="004F7D36" w:rsidRDefault="004F7D36" w:rsidP="00460B36">
      <w:pPr>
        <w:tabs>
          <w:tab w:val="left" w:pos="36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A657DC" w14:textId="77777777" w:rsidR="00A6709C" w:rsidRDefault="00A6709C" w:rsidP="00460B36">
      <w:pPr>
        <w:tabs>
          <w:tab w:val="left" w:pos="36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69EF289" w14:textId="77777777" w:rsidR="00A6709C" w:rsidRDefault="00A6709C" w:rsidP="00460B36">
      <w:pPr>
        <w:tabs>
          <w:tab w:val="left" w:pos="36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C3707E" w14:textId="77777777" w:rsidR="00A6709C" w:rsidRDefault="00A6709C" w:rsidP="00460B36">
      <w:pPr>
        <w:tabs>
          <w:tab w:val="left" w:pos="36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6B74554" w14:textId="77777777" w:rsidR="00A6709C" w:rsidRDefault="00A6709C" w:rsidP="00460B36">
      <w:pPr>
        <w:tabs>
          <w:tab w:val="left" w:pos="36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6478ED4" w14:textId="77777777" w:rsidR="00A6709C" w:rsidRDefault="00A6709C" w:rsidP="00460B36">
      <w:pPr>
        <w:tabs>
          <w:tab w:val="left" w:pos="363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8390979" w14:textId="77777777" w:rsidR="004F7D36" w:rsidRDefault="004F7D36" w:rsidP="00460B36">
      <w:pPr>
        <w:tabs>
          <w:tab w:val="left" w:pos="363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82F6BDB" w14:textId="77777777" w:rsidR="004F7D36" w:rsidRDefault="004F7D36" w:rsidP="00460B36">
      <w:pPr>
        <w:tabs>
          <w:tab w:val="left" w:pos="363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5C4F09A" w14:textId="6F2D4EA8" w:rsidR="00460B36" w:rsidRPr="008901E7" w:rsidRDefault="004D7B72" w:rsidP="00460B36">
      <w:pPr>
        <w:tabs>
          <w:tab w:val="left" w:pos="363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8. </w:t>
      </w:r>
      <w:r w:rsidR="00460B36" w:rsidRPr="008901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Ресурсне забезпечення</w:t>
      </w:r>
    </w:p>
    <w:p w14:paraId="3F4EF7A5" w14:textId="77777777" w:rsidR="00460B36" w:rsidRPr="008901E7" w:rsidRDefault="00460B36" w:rsidP="00460B36">
      <w:pPr>
        <w:tabs>
          <w:tab w:val="left" w:pos="363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901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Програми компенсації пільгових перевезень окремих категорій громадян на залізничному транспорті  приміського сполучення  </w:t>
      </w:r>
    </w:p>
    <w:p w14:paraId="537F5B84" w14:textId="2D4C3EAE" w:rsidR="00460B36" w:rsidRPr="008901E7" w:rsidRDefault="00460B36" w:rsidP="00460B36">
      <w:pPr>
        <w:tabs>
          <w:tab w:val="left" w:pos="363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901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202</w:t>
      </w:r>
      <w:r w:rsidR="00A058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8901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-202</w:t>
      </w:r>
      <w:r w:rsidR="00A058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Pr="008901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роки </w:t>
      </w:r>
    </w:p>
    <w:p w14:paraId="57E6CA57" w14:textId="77777777" w:rsidR="00460B36" w:rsidRPr="008901E7" w:rsidRDefault="00460B36" w:rsidP="00460B36">
      <w:pPr>
        <w:tabs>
          <w:tab w:val="left" w:pos="363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76"/>
        <w:gridCol w:w="1275"/>
        <w:gridCol w:w="1418"/>
        <w:gridCol w:w="2693"/>
      </w:tblGrid>
      <w:tr w:rsidR="00460B36" w:rsidRPr="008901E7" w14:paraId="4CF6B3E8" w14:textId="77777777" w:rsidTr="00036E4B">
        <w:tc>
          <w:tcPr>
            <w:tcW w:w="2977" w:type="dxa"/>
            <w:vMerge w:val="restart"/>
            <w:vAlign w:val="center"/>
          </w:tcPr>
          <w:p w14:paraId="4BED6151" w14:textId="77777777" w:rsidR="00460B36" w:rsidRPr="008901E7" w:rsidRDefault="00460B36" w:rsidP="004A767A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1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3969" w:type="dxa"/>
            <w:gridSpan w:val="3"/>
            <w:vAlign w:val="center"/>
          </w:tcPr>
          <w:p w14:paraId="6CBB47F9" w14:textId="77777777" w:rsidR="00460B36" w:rsidRPr="008901E7" w:rsidRDefault="00460B36" w:rsidP="004A767A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1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Етапи виконання</w:t>
            </w:r>
          </w:p>
        </w:tc>
        <w:tc>
          <w:tcPr>
            <w:tcW w:w="2693" w:type="dxa"/>
            <w:vMerge w:val="restart"/>
            <w:vAlign w:val="center"/>
          </w:tcPr>
          <w:p w14:paraId="67C51CB5" w14:textId="77777777" w:rsidR="00460B36" w:rsidRPr="008901E7" w:rsidRDefault="00460B36" w:rsidP="004A767A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1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Усього витрат на виконання програми</w:t>
            </w:r>
          </w:p>
          <w:p w14:paraId="0FEB3256" w14:textId="77777777" w:rsidR="00460B36" w:rsidRPr="008901E7" w:rsidRDefault="00460B36" w:rsidP="004A767A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1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тис.грн)</w:t>
            </w:r>
          </w:p>
        </w:tc>
      </w:tr>
      <w:tr w:rsidR="00A05811" w:rsidRPr="008901E7" w14:paraId="2C14CE59" w14:textId="77777777" w:rsidTr="00A05811">
        <w:tc>
          <w:tcPr>
            <w:tcW w:w="2977" w:type="dxa"/>
            <w:vMerge/>
            <w:vAlign w:val="center"/>
          </w:tcPr>
          <w:p w14:paraId="2F609AA2" w14:textId="77777777" w:rsidR="00A05811" w:rsidRPr="008901E7" w:rsidRDefault="00A05811" w:rsidP="004A767A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818FA0A" w14:textId="77777777" w:rsidR="00A05811" w:rsidRPr="008901E7" w:rsidRDefault="00A05811" w:rsidP="004A767A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1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1275" w:type="dxa"/>
            <w:vAlign w:val="center"/>
          </w:tcPr>
          <w:p w14:paraId="45A04E87" w14:textId="77777777" w:rsidR="00A05811" w:rsidRPr="008901E7" w:rsidRDefault="00A05811" w:rsidP="004A767A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1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1418" w:type="dxa"/>
            <w:vAlign w:val="center"/>
          </w:tcPr>
          <w:p w14:paraId="613D2C85" w14:textId="5E29D51F" w:rsidR="00A05811" w:rsidRPr="008901E7" w:rsidRDefault="00A05811" w:rsidP="004A767A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2693" w:type="dxa"/>
            <w:vMerge/>
            <w:vAlign w:val="center"/>
          </w:tcPr>
          <w:p w14:paraId="02E1D0D3" w14:textId="77777777" w:rsidR="00A05811" w:rsidRPr="008901E7" w:rsidRDefault="00A05811" w:rsidP="004A767A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5811" w:rsidRPr="008901E7" w14:paraId="613EC6E1" w14:textId="77777777" w:rsidTr="00A05811">
        <w:trPr>
          <w:trHeight w:val="410"/>
        </w:trPr>
        <w:tc>
          <w:tcPr>
            <w:tcW w:w="2977" w:type="dxa"/>
            <w:vMerge/>
            <w:vAlign w:val="center"/>
          </w:tcPr>
          <w:p w14:paraId="353CFFCE" w14:textId="77777777" w:rsidR="00A05811" w:rsidRPr="008901E7" w:rsidRDefault="00A05811" w:rsidP="004A767A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02E59A8" w14:textId="45481827" w:rsidR="00A05811" w:rsidRPr="008901E7" w:rsidRDefault="00A05811" w:rsidP="004A767A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1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8901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</w:t>
            </w:r>
          </w:p>
        </w:tc>
        <w:tc>
          <w:tcPr>
            <w:tcW w:w="1275" w:type="dxa"/>
            <w:vAlign w:val="center"/>
          </w:tcPr>
          <w:p w14:paraId="405C5806" w14:textId="3DB66A7C" w:rsidR="00A05811" w:rsidRPr="008901E7" w:rsidRDefault="00A05811" w:rsidP="004A767A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1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8901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</w:t>
            </w:r>
          </w:p>
        </w:tc>
        <w:tc>
          <w:tcPr>
            <w:tcW w:w="1418" w:type="dxa"/>
            <w:vAlign w:val="center"/>
          </w:tcPr>
          <w:p w14:paraId="0D323104" w14:textId="45E81190" w:rsidR="00A05811" w:rsidRPr="008901E7" w:rsidRDefault="00A05811" w:rsidP="004A767A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2028 рік</w:t>
            </w:r>
          </w:p>
        </w:tc>
        <w:tc>
          <w:tcPr>
            <w:tcW w:w="2693" w:type="dxa"/>
            <w:vMerge/>
            <w:vAlign w:val="center"/>
          </w:tcPr>
          <w:p w14:paraId="598F15A8" w14:textId="77777777" w:rsidR="00A05811" w:rsidRPr="008901E7" w:rsidRDefault="00A05811" w:rsidP="004A767A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5811" w:rsidRPr="008901E7" w14:paraId="30C7EB0B" w14:textId="77777777" w:rsidTr="00A05811">
        <w:tc>
          <w:tcPr>
            <w:tcW w:w="2977" w:type="dxa"/>
          </w:tcPr>
          <w:p w14:paraId="3F376BDC" w14:textId="77777777" w:rsidR="00A05811" w:rsidRPr="008901E7" w:rsidRDefault="00A05811" w:rsidP="004A767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1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Селищний бюджет</w:t>
            </w:r>
          </w:p>
        </w:tc>
        <w:tc>
          <w:tcPr>
            <w:tcW w:w="1276" w:type="dxa"/>
            <w:vAlign w:val="center"/>
          </w:tcPr>
          <w:p w14:paraId="4C31AC31" w14:textId="0B6FCDAD" w:rsidR="00A05811" w:rsidRPr="008901E7" w:rsidRDefault="00A05811" w:rsidP="004A767A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Pr="008901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75" w:type="dxa"/>
            <w:vAlign w:val="center"/>
          </w:tcPr>
          <w:p w14:paraId="682F563B" w14:textId="0DC2E6D1" w:rsidR="00A05811" w:rsidRPr="008901E7" w:rsidRDefault="00A05811" w:rsidP="004A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8901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14:paraId="28A7A267" w14:textId="4319B195" w:rsidR="00A05811" w:rsidRPr="008901E7" w:rsidRDefault="00A05811" w:rsidP="004A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40,00</w:t>
            </w:r>
          </w:p>
        </w:tc>
        <w:tc>
          <w:tcPr>
            <w:tcW w:w="2693" w:type="dxa"/>
            <w:vAlign w:val="center"/>
          </w:tcPr>
          <w:p w14:paraId="420E11A6" w14:textId="62D9EC49" w:rsidR="00A05811" w:rsidRPr="008901E7" w:rsidRDefault="00A05811" w:rsidP="004A767A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8901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</w:tbl>
    <w:p w14:paraId="01C75229" w14:textId="77777777" w:rsidR="004D7B72" w:rsidRDefault="004D7B72" w:rsidP="004D7B72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8"/>
          <w:szCs w:val="20"/>
          <w:shd w:val="clear" w:color="auto" w:fill="FFFFFF"/>
          <w:lang w:eastAsia="uk-UA"/>
        </w:rPr>
      </w:pPr>
    </w:p>
    <w:p w14:paraId="1EE2BF06" w14:textId="1C0322DA" w:rsidR="00316E5C" w:rsidRPr="00F721F8" w:rsidRDefault="004D7B72" w:rsidP="004D7B7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shd w:val="clear" w:color="auto" w:fill="FFFFFF"/>
          <w:lang w:eastAsia="uk-UA"/>
        </w:rPr>
        <w:t xml:space="preserve">9. </w:t>
      </w:r>
      <w:r w:rsidR="00316E5C" w:rsidRPr="00F721F8">
        <w:rPr>
          <w:rFonts w:ascii="Times New Roman" w:eastAsia="Times New Roman" w:hAnsi="Times New Roman"/>
          <w:b/>
          <w:color w:val="000000"/>
          <w:sz w:val="28"/>
          <w:szCs w:val="20"/>
          <w:shd w:val="clear" w:color="auto" w:fill="FFFFFF"/>
          <w:lang w:eastAsia="uk-UA"/>
        </w:rPr>
        <w:t>Напрями діяльності та заходи Програми</w:t>
      </w:r>
    </w:p>
    <w:p w14:paraId="7BC704E5" w14:textId="77777777" w:rsidR="00316E5C" w:rsidRPr="00F721F8" w:rsidRDefault="00316E5C" w:rsidP="00316E5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hd w:val="clear" w:color="auto" w:fill="FFFFFF"/>
          <w:lang w:eastAsia="uk-UA"/>
        </w:rPr>
      </w:pPr>
    </w:p>
    <w:tbl>
      <w:tblPr>
        <w:tblW w:w="96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985"/>
        <w:gridCol w:w="2126"/>
        <w:gridCol w:w="1276"/>
        <w:gridCol w:w="709"/>
        <w:gridCol w:w="708"/>
        <w:gridCol w:w="777"/>
        <w:gridCol w:w="1604"/>
      </w:tblGrid>
      <w:tr w:rsidR="00316E5C" w:rsidRPr="00F721F8" w14:paraId="53717633" w14:textId="77777777" w:rsidTr="00036E4B">
        <w:trPr>
          <w:trHeight w:val="926"/>
        </w:trPr>
        <w:tc>
          <w:tcPr>
            <w:tcW w:w="425" w:type="dxa"/>
            <w:vMerge w:val="restart"/>
          </w:tcPr>
          <w:p w14:paraId="1D13BC7B" w14:textId="77777777" w:rsidR="00316E5C" w:rsidRPr="008901E7" w:rsidRDefault="00316E5C" w:rsidP="004A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1E7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193274C1" w14:textId="77777777" w:rsidR="00316E5C" w:rsidRPr="008901E7" w:rsidRDefault="00316E5C" w:rsidP="004A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1E7">
              <w:rPr>
                <w:rFonts w:ascii="Times New Roman" w:eastAsia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5" w:type="dxa"/>
            <w:vMerge w:val="restart"/>
          </w:tcPr>
          <w:p w14:paraId="3FB5E130" w14:textId="77777777" w:rsidR="00316E5C" w:rsidRPr="008901E7" w:rsidRDefault="00316E5C" w:rsidP="004A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1E7">
              <w:rPr>
                <w:rFonts w:ascii="Times New Roman" w:eastAsia="Times New Roman" w:hAnsi="Times New Roman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2126" w:type="dxa"/>
            <w:vMerge w:val="restart"/>
          </w:tcPr>
          <w:p w14:paraId="143FFC3F" w14:textId="77777777" w:rsidR="00316E5C" w:rsidRPr="008901E7" w:rsidRDefault="00316E5C" w:rsidP="004A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1E7">
              <w:rPr>
                <w:rFonts w:ascii="Times New Roman" w:eastAsia="Times New Roman" w:hAnsi="Times New Roman"/>
                <w:sz w:val="24"/>
                <w:szCs w:val="24"/>
              </w:rPr>
              <w:t xml:space="preserve">Виконавці </w:t>
            </w:r>
          </w:p>
        </w:tc>
        <w:tc>
          <w:tcPr>
            <w:tcW w:w="1276" w:type="dxa"/>
            <w:vMerge w:val="restart"/>
          </w:tcPr>
          <w:p w14:paraId="75BCC5A4" w14:textId="77777777" w:rsidR="00316E5C" w:rsidRPr="008901E7" w:rsidRDefault="00316E5C" w:rsidP="004A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1E7">
              <w:rPr>
                <w:rFonts w:ascii="Times New Roman" w:eastAsia="Times New Roman" w:hAnsi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2194" w:type="dxa"/>
            <w:gridSpan w:val="3"/>
          </w:tcPr>
          <w:p w14:paraId="65F70CBA" w14:textId="6D11539F" w:rsidR="00316E5C" w:rsidRPr="008901E7" w:rsidRDefault="00316E5C" w:rsidP="004A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1E7">
              <w:rPr>
                <w:rFonts w:ascii="Times New Roman" w:eastAsia="Times New Roman" w:hAnsi="Times New Roman"/>
                <w:sz w:val="24"/>
                <w:szCs w:val="24"/>
              </w:rPr>
              <w:t>Орієнтовані обсяги фінансування</w:t>
            </w:r>
          </w:p>
          <w:p w14:paraId="51B027FE" w14:textId="77777777" w:rsidR="00316E5C" w:rsidRPr="008901E7" w:rsidRDefault="00316E5C" w:rsidP="004A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1E7">
              <w:rPr>
                <w:rFonts w:ascii="Times New Roman" w:eastAsia="Times New Roman" w:hAnsi="Times New Roman"/>
                <w:sz w:val="24"/>
                <w:szCs w:val="24"/>
              </w:rPr>
              <w:t>(тис. грн.)</w:t>
            </w:r>
          </w:p>
        </w:tc>
        <w:tc>
          <w:tcPr>
            <w:tcW w:w="1604" w:type="dxa"/>
            <w:vMerge w:val="restart"/>
          </w:tcPr>
          <w:p w14:paraId="6DFB0EBE" w14:textId="77777777" w:rsidR="00316E5C" w:rsidRPr="008901E7" w:rsidRDefault="00316E5C" w:rsidP="004A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1E7">
              <w:rPr>
                <w:rFonts w:ascii="Times New Roman" w:eastAsia="Times New Roman" w:hAnsi="Times New Roman"/>
                <w:sz w:val="24"/>
                <w:szCs w:val="24"/>
              </w:rPr>
              <w:t>Очікуваний результат</w:t>
            </w:r>
          </w:p>
        </w:tc>
      </w:tr>
      <w:tr w:rsidR="0062769C" w:rsidRPr="00F721F8" w14:paraId="693A7266" w14:textId="77777777" w:rsidTr="0062769C">
        <w:trPr>
          <w:trHeight w:val="430"/>
        </w:trPr>
        <w:tc>
          <w:tcPr>
            <w:tcW w:w="425" w:type="dxa"/>
            <w:vMerge/>
          </w:tcPr>
          <w:p w14:paraId="727969DB" w14:textId="77777777" w:rsidR="0062769C" w:rsidRPr="008901E7" w:rsidRDefault="0062769C" w:rsidP="004A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6DEE1A2" w14:textId="77777777" w:rsidR="0062769C" w:rsidRPr="008901E7" w:rsidRDefault="0062769C" w:rsidP="004A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F82CD0F" w14:textId="77777777" w:rsidR="0062769C" w:rsidRPr="008901E7" w:rsidRDefault="0062769C" w:rsidP="004A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8017DAE" w14:textId="77777777" w:rsidR="0062769C" w:rsidRPr="008901E7" w:rsidRDefault="0062769C" w:rsidP="004A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3F761E" w14:textId="37BA9487" w:rsidR="0062769C" w:rsidRPr="008901E7" w:rsidRDefault="0062769C" w:rsidP="004A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1E7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665CF25F" w14:textId="4CB9238E" w:rsidR="0062769C" w:rsidRPr="008901E7" w:rsidRDefault="0062769C" w:rsidP="004A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1E7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59A34B1E" w14:textId="65F6D9A2" w:rsidR="0062769C" w:rsidRPr="008901E7" w:rsidRDefault="0062769C" w:rsidP="004A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604" w:type="dxa"/>
            <w:vMerge/>
          </w:tcPr>
          <w:p w14:paraId="68859F3A" w14:textId="77777777" w:rsidR="0062769C" w:rsidRPr="008901E7" w:rsidRDefault="0062769C" w:rsidP="004A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769C" w:rsidRPr="00F721F8" w14:paraId="2631D302" w14:textId="77777777" w:rsidTr="0062769C">
        <w:trPr>
          <w:trHeight w:val="2378"/>
        </w:trPr>
        <w:tc>
          <w:tcPr>
            <w:tcW w:w="425" w:type="dxa"/>
          </w:tcPr>
          <w:p w14:paraId="42D06103" w14:textId="77777777" w:rsidR="0062769C" w:rsidRPr="008901E7" w:rsidRDefault="0062769C" w:rsidP="004A7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1E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F268BCD" w14:textId="77777777" w:rsidR="0062769C" w:rsidRPr="008901E7" w:rsidRDefault="0062769C" w:rsidP="004A7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1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Компенсація виплат за пільговий проїзд залізничним транспортом у приміському сполученні</w:t>
            </w:r>
          </w:p>
        </w:tc>
        <w:tc>
          <w:tcPr>
            <w:tcW w:w="2126" w:type="dxa"/>
          </w:tcPr>
          <w:p w14:paraId="1E87BFF6" w14:textId="69EDCB92" w:rsidR="0062769C" w:rsidRDefault="004F7D36" w:rsidP="00B45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</w:t>
            </w:r>
            <w:r w:rsidRPr="004F7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янівс</w:t>
            </w:r>
            <w:r w:rsidR="0062769C" w:rsidRPr="008901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ька селищна рада,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філія</w:t>
            </w:r>
            <w:r w:rsidR="0062769C" w:rsidRPr="008901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Приміська пасажирська компанія</w:t>
            </w:r>
            <w:r w:rsidR="0062769C" w:rsidRPr="008901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АТ «Ук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="0062769C" w:rsidRPr="008901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залізниця»</w:t>
            </w:r>
          </w:p>
          <w:p w14:paraId="425DE602" w14:textId="11266C30" w:rsidR="0062769C" w:rsidRPr="008901E7" w:rsidRDefault="0062769C" w:rsidP="00B45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4DB252" w14:textId="5047CA3D" w:rsidR="0062769C" w:rsidRPr="008901E7" w:rsidRDefault="0062769C" w:rsidP="004A7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8901E7">
              <w:rPr>
                <w:rFonts w:ascii="Times New Roman" w:eastAsia="Times New Roman" w:hAnsi="Times New Roman"/>
                <w:sz w:val="24"/>
                <w:szCs w:val="24"/>
              </w:rPr>
              <w:t>елищний бюджет</w:t>
            </w:r>
          </w:p>
        </w:tc>
        <w:tc>
          <w:tcPr>
            <w:tcW w:w="709" w:type="dxa"/>
            <w:vAlign w:val="center"/>
          </w:tcPr>
          <w:p w14:paraId="3A59A219" w14:textId="6132E500" w:rsidR="0062769C" w:rsidRPr="008901E7" w:rsidRDefault="0062769C" w:rsidP="00C07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8901E7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vAlign w:val="center"/>
          </w:tcPr>
          <w:p w14:paraId="13DAF814" w14:textId="1876105D" w:rsidR="0062769C" w:rsidRPr="008901E7" w:rsidRDefault="0062769C" w:rsidP="00C07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8901E7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7" w:type="dxa"/>
            <w:vAlign w:val="center"/>
          </w:tcPr>
          <w:p w14:paraId="3114F701" w14:textId="379E5509" w:rsidR="0062769C" w:rsidRPr="0062769C" w:rsidRDefault="0062769C" w:rsidP="00C07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604" w:type="dxa"/>
          </w:tcPr>
          <w:p w14:paraId="0C54A45A" w14:textId="77777777" w:rsidR="0062769C" w:rsidRPr="008901E7" w:rsidRDefault="0062769C" w:rsidP="004A7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1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Забезпечення реалізації окремих категорій громадян на пільговий проїзд залізничним транспортом</w:t>
            </w:r>
          </w:p>
        </w:tc>
      </w:tr>
      <w:tr w:rsidR="0062769C" w:rsidRPr="00F721F8" w14:paraId="329EE366" w14:textId="77777777" w:rsidTr="00CE555B">
        <w:trPr>
          <w:trHeight w:val="561"/>
        </w:trPr>
        <w:tc>
          <w:tcPr>
            <w:tcW w:w="5812" w:type="dxa"/>
            <w:gridSpan w:val="4"/>
          </w:tcPr>
          <w:p w14:paraId="7BDDDFED" w14:textId="55EFA473" w:rsidR="0062769C" w:rsidRPr="008901E7" w:rsidRDefault="0062769C" w:rsidP="004A7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1E7">
              <w:rPr>
                <w:rFonts w:ascii="Times New Roman" w:eastAsia="Times New Roman" w:hAnsi="Times New Roman"/>
                <w:sz w:val="24"/>
                <w:szCs w:val="24"/>
              </w:rPr>
              <w:t>Всього:</w:t>
            </w:r>
          </w:p>
        </w:tc>
        <w:tc>
          <w:tcPr>
            <w:tcW w:w="2194" w:type="dxa"/>
            <w:gridSpan w:val="3"/>
          </w:tcPr>
          <w:p w14:paraId="1E587009" w14:textId="22CCF3A1" w:rsidR="0062769C" w:rsidRPr="008901E7" w:rsidRDefault="0062769C" w:rsidP="00627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604" w:type="dxa"/>
          </w:tcPr>
          <w:p w14:paraId="41CEB913" w14:textId="77777777" w:rsidR="0062769C" w:rsidRPr="008901E7" w:rsidRDefault="0062769C" w:rsidP="004A76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492131C9" w14:textId="77777777" w:rsidR="004D7B72" w:rsidRDefault="004D7B72" w:rsidP="008901E7">
      <w:pPr>
        <w:tabs>
          <w:tab w:val="left" w:pos="3212"/>
        </w:tabs>
        <w:spacing w:line="72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B360F" w14:textId="7CFC6A0B" w:rsidR="00B453E2" w:rsidRPr="005F3834" w:rsidRDefault="000423C1" w:rsidP="008901E7">
      <w:pPr>
        <w:tabs>
          <w:tab w:val="left" w:pos="3212"/>
        </w:tabs>
        <w:spacing w:line="72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53E2" w:rsidRPr="0062769C"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="0062769C" w:rsidRPr="0062769C"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="00B453E2" w:rsidRPr="0062769C">
        <w:rPr>
          <w:rFonts w:ascii="Times New Roman" w:hAnsi="Times New Roman" w:cs="Times New Roman"/>
          <w:sz w:val="28"/>
          <w:szCs w:val="28"/>
        </w:rPr>
        <w:t xml:space="preserve">ради                                           </w:t>
      </w:r>
      <w:r w:rsidR="004D7B72" w:rsidRPr="0062769C">
        <w:rPr>
          <w:rFonts w:ascii="Times New Roman" w:hAnsi="Times New Roman" w:cs="Times New Roman"/>
          <w:sz w:val="28"/>
          <w:szCs w:val="28"/>
        </w:rPr>
        <w:t xml:space="preserve">   </w:t>
      </w:r>
      <w:r w:rsidR="0062769C">
        <w:rPr>
          <w:rFonts w:ascii="Times New Roman" w:hAnsi="Times New Roman" w:cs="Times New Roman"/>
          <w:sz w:val="28"/>
          <w:szCs w:val="28"/>
        </w:rPr>
        <w:t xml:space="preserve">       </w:t>
      </w:r>
      <w:r w:rsidR="0062769C">
        <w:rPr>
          <w:rFonts w:ascii="Times New Roman" w:hAnsi="Times New Roman" w:cs="Times New Roman"/>
          <w:b/>
          <w:bCs/>
          <w:sz w:val="28"/>
          <w:szCs w:val="28"/>
        </w:rPr>
        <w:t>Володимир БОРАЧОК</w:t>
      </w:r>
    </w:p>
    <w:sectPr w:rsidR="00B453E2" w:rsidRPr="005F3834" w:rsidSect="005A6E6E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D6B60" w14:textId="77777777" w:rsidR="00A22836" w:rsidRDefault="00A22836" w:rsidP="005417B6">
      <w:pPr>
        <w:spacing w:after="0" w:line="240" w:lineRule="auto"/>
      </w:pPr>
      <w:r>
        <w:separator/>
      </w:r>
    </w:p>
  </w:endnote>
  <w:endnote w:type="continuationSeparator" w:id="0">
    <w:p w14:paraId="1CFF2A2E" w14:textId="77777777" w:rsidR="00A22836" w:rsidRDefault="00A22836" w:rsidP="0054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5153" w14:textId="77777777" w:rsidR="00A22836" w:rsidRDefault="00A22836" w:rsidP="005417B6">
      <w:pPr>
        <w:spacing w:after="0" w:line="240" w:lineRule="auto"/>
      </w:pPr>
      <w:r>
        <w:separator/>
      </w:r>
    </w:p>
  </w:footnote>
  <w:footnote w:type="continuationSeparator" w:id="0">
    <w:p w14:paraId="6C23A4D7" w14:textId="77777777" w:rsidR="00A22836" w:rsidRDefault="00A22836" w:rsidP="00541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098469"/>
      <w:docPartObj>
        <w:docPartGallery w:val="Page Numbers (Top of Page)"/>
        <w:docPartUnique/>
      </w:docPartObj>
    </w:sdtPr>
    <w:sdtContent>
      <w:p w14:paraId="17EDA232" w14:textId="0CEBD658" w:rsidR="000423C1" w:rsidRDefault="000423C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7AA">
          <w:rPr>
            <w:noProof/>
          </w:rPr>
          <w:t>4</w:t>
        </w:r>
        <w:r>
          <w:fldChar w:fldCharType="end"/>
        </w:r>
      </w:p>
    </w:sdtContent>
  </w:sdt>
  <w:p w14:paraId="3F94EADA" w14:textId="77777777" w:rsidR="005417B6" w:rsidRDefault="005417B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A663D"/>
    <w:multiLevelType w:val="hybridMultilevel"/>
    <w:tmpl w:val="8E2EE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67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893"/>
    <w:rsid w:val="0000052A"/>
    <w:rsid w:val="00036E4B"/>
    <w:rsid w:val="000423C1"/>
    <w:rsid w:val="000E5B87"/>
    <w:rsid w:val="0012519C"/>
    <w:rsid w:val="00144E44"/>
    <w:rsid w:val="00175C4A"/>
    <w:rsid w:val="001F7DB5"/>
    <w:rsid w:val="00213B95"/>
    <w:rsid w:val="00232E4F"/>
    <w:rsid w:val="00244B30"/>
    <w:rsid w:val="00244EA2"/>
    <w:rsid w:val="002566E7"/>
    <w:rsid w:val="00276056"/>
    <w:rsid w:val="002762C9"/>
    <w:rsid w:val="002C7F80"/>
    <w:rsid w:val="002D1F1E"/>
    <w:rsid w:val="002F7529"/>
    <w:rsid w:val="0031629C"/>
    <w:rsid w:val="00316E5C"/>
    <w:rsid w:val="003A01FC"/>
    <w:rsid w:val="00401CE4"/>
    <w:rsid w:val="00416893"/>
    <w:rsid w:val="00434631"/>
    <w:rsid w:val="00460B36"/>
    <w:rsid w:val="004D6ABA"/>
    <w:rsid w:val="004D7B72"/>
    <w:rsid w:val="004F7D36"/>
    <w:rsid w:val="005153B7"/>
    <w:rsid w:val="005417B6"/>
    <w:rsid w:val="005544C2"/>
    <w:rsid w:val="005A0676"/>
    <w:rsid w:val="005A37AA"/>
    <w:rsid w:val="005A6E6E"/>
    <w:rsid w:val="005A6EEC"/>
    <w:rsid w:val="005B6E5E"/>
    <w:rsid w:val="005D4294"/>
    <w:rsid w:val="005F3834"/>
    <w:rsid w:val="00612E0F"/>
    <w:rsid w:val="0062769C"/>
    <w:rsid w:val="00636C54"/>
    <w:rsid w:val="00644D7B"/>
    <w:rsid w:val="00684E65"/>
    <w:rsid w:val="006E0F2E"/>
    <w:rsid w:val="00735247"/>
    <w:rsid w:val="007569F8"/>
    <w:rsid w:val="00796B86"/>
    <w:rsid w:val="007B6513"/>
    <w:rsid w:val="007C3E17"/>
    <w:rsid w:val="00811F10"/>
    <w:rsid w:val="00821E17"/>
    <w:rsid w:val="00875DE8"/>
    <w:rsid w:val="008901E7"/>
    <w:rsid w:val="008E3D10"/>
    <w:rsid w:val="0093696F"/>
    <w:rsid w:val="00975655"/>
    <w:rsid w:val="009C2117"/>
    <w:rsid w:val="009F16CB"/>
    <w:rsid w:val="00A05811"/>
    <w:rsid w:val="00A22836"/>
    <w:rsid w:val="00A5111E"/>
    <w:rsid w:val="00A54CB2"/>
    <w:rsid w:val="00A6709C"/>
    <w:rsid w:val="00A91403"/>
    <w:rsid w:val="00AB1174"/>
    <w:rsid w:val="00B0052E"/>
    <w:rsid w:val="00B453E2"/>
    <w:rsid w:val="00BB366C"/>
    <w:rsid w:val="00BE1E5C"/>
    <w:rsid w:val="00BE3B59"/>
    <w:rsid w:val="00BF1E49"/>
    <w:rsid w:val="00C07BE8"/>
    <w:rsid w:val="00C636E6"/>
    <w:rsid w:val="00C84569"/>
    <w:rsid w:val="00C848D2"/>
    <w:rsid w:val="00CC0940"/>
    <w:rsid w:val="00D550E4"/>
    <w:rsid w:val="00D5713D"/>
    <w:rsid w:val="00DD36E2"/>
    <w:rsid w:val="00E04CB8"/>
    <w:rsid w:val="00E058D3"/>
    <w:rsid w:val="00E454F5"/>
    <w:rsid w:val="00E653C1"/>
    <w:rsid w:val="00E655B4"/>
    <w:rsid w:val="00F135F2"/>
    <w:rsid w:val="00F23FCD"/>
    <w:rsid w:val="00F360C8"/>
    <w:rsid w:val="00F4717E"/>
    <w:rsid w:val="00F53C0C"/>
    <w:rsid w:val="00F9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BF6E"/>
  <w15:docId w15:val="{24B20268-12FA-4BFA-BAF9-C105CF1C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17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417B6"/>
  </w:style>
  <w:style w:type="paragraph" w:styleId="a6">
    <w:name w:val="footer"/>
    <w:basedOn w:val="a"/>
    <w:link w:val="a7"/>
    <w:uiPriority w:val="99"/>
    <w:unhideWhenUsed/>
    <w:rsid w:val="005417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417B6"/>
  </w:style>
  <w:style w:type="paragraph" w:styleId="a8">
    <w:name w:val="List Paragraph"/>
    <w:basedOn w:val="a"/>
    <w:uiPriority w:val="34"/>
    <w:qFormat/>
    <w:rsid w:val="004D7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0E693-1FCD-4FBE-8114-E580E9E2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4452</Words>
  <Characters>2539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Соціальний Захист</dc:creator>
  <cp:lastModifiedBy>Pes Duk</cp:lastModifiedBy>
  <cp:revision>25</cp:revision>
  <cp:lastPrinted>2024-05-23T08:57:00Z</cp:lastPrinted>
  <dcterms:created xsi:type="dcterms:W3CDTF">2024-05-07T10:01:00Z</dcterms:created>
  <dcterms:modified xsi:type="dcterms:W3CDTF">2025-11-20T07:11:00Z</dcterms:modified>
</cp:coreProperties>
</file>