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FA" w:rsidRPr="000D043A" w:rsidRDefault="002D3283" w:rsidP="009E7743">
      <w:pPr>
        <w:keepNext/>
        <w:widowControl/>
        <w:autoSpaceDE/>
        <w:autoSpaceDN/>
        <w:ind w:left="5954"/>
        <w:jc w:val="right"/>
        <w:outlineLvl w:val="1"/>
        <w:rPr>
          <w:sz w:val="28"/>
          <w:szCs w:val="24"/>
          <w:lang w:eastAsia="uk-UA"/>
        </w:rPr>
      </w:pPr>
      <w:r>
        <w:rPr>
          <w:sz w:val="28"/>
          <w:szCs w:val="24"/>
        </w:rPr>
        <w:t>Д</w:t>
      </w:r>
      <w:r w:rsidR="009E7743">
        <w:rPr>
          <w:sz w:val="28"/>
          <w:szCs w:val="24"/>
        </w:rPr>
        <w:t>одаток</w:t>
      </w:r>
    </w:p>
    <w:p w:rsidR="000D043A" w:rsidRPr="000D043A" w:rsidRDefault="00096DFA" w:rsidP="000D043A">
      <w:pPr>
        <w:widowControl/>
        <w:autoSpaceDE/>
        <w:autoSpaceDN/>
        <w:ind w:left="5954"/>
        <w:rPr>
          <w:sz w:val="28"/>
          <w:szCs w:val="24"/>
          <w:lang w:eastAsia="uk-UA"/>
        </w:rPr>
      </w:pPr>
      <w:r w:rsidRPr="000D043A">
        <w:rPr>
          <w:sz w:val="28"/>
          <w:szCs w:val="24"/>
          <w:lang w:eastAsia="uk-UA"/>
        </w:rPr>
        <w:t>до рішення  Мар’янівської селищної ради</w:t>
      </w:r>
      <w:r w:rsidR="000D043A" w:rsidRPr="000D043A">
        <w:rPr>
          <w:sz w:val="28"/>
          <w:szCs w:val="24"/>
          <w:lang w:eastAsia="uk-UA"/>
        </w:rPr>
        <w:t xml:space="preserve"> </w:t>
      </w:r>
    </w:p>
    <w:p w:rsidR="00096DFA" w:rsidRPr="000D043A" w:rsidRDefault="00096DFA" w:rsidP="000D043A">
      <w:pPr>
        <w:widowControl/>
        <w:autoSpaceDE/>
        <w:autoSpaceDN/>
        <w:ind w:left="5954"/>
        <w:rPr>
          <w:sz w:val="28"/>
          <w:szCs w:val="27"/>
          <w:lang w:eastAsia="uk-UA"/>
        </w:rPr>
      </w:pPr>
      <w:r w:rsidRPr="000D043A">
        <w:rPr>
          <w:sz w:val="28"/>
          <w:szCs w:val="24"/>
          <w:lang w:eastAsia="uk-UA"/>
        </w:rPr>
        <w:t xml:space="preserve">від </w:t>
      </w:r>
      <w:r w:rsidR="007359E6">
        <w:rPr>
          <w:sz w:val="28"/>
          <w:szCs w:val="24"/>
          <w:lang w:eastAsia="uk-UA"/>
        </w:rPr>
        <w:t>__</w:t>
      </w:r>
      <w:r w:rsidR="000D043A" w:rsidRPr="000D043A">
        <w:rPr>
          <w:sz w:val="28"/>
          <w:szCs w:val="24"/>
          <w:lang w:eastAsia="uk-UA"/>
        </w:rPr>
        <w:t xml:space="preserve"> липня</w:t>
      </w:r>
      <w:r w:rsidRPr="000D043A">
        <w:rPr>
          <w:sz w:val="28"/>
          <w:szCs w:val="24"/>
          <w:lang w:eastAsia="uk-UA"/>
        </w:rPr>
        <w:t xml:space="preserve"> 202</w:t>
      </w:r>
      <w:r w:rsidR="007359E6">
        <w:rPr>
          <w:sz w:val="28"/>
          <w:szCs w:val="24"/>
          <w:lang w:eastAsia="uk-UA"/>
        </w:rPr>
        <w:t>2</w:t>
      </w:r>
      <w:r w:rsidRPr="000D043A">
        <w:rPr>
          <w:sz w:val="28"/>
          <w:szCs w:val="24"/>
          <w:lang w:eastAsia="uk-UA"/>
        </w:rPr>
        <w:t xml:space="preserve"> року № </w:t>
      </w:r>
      <w:r w:rsidR="007359E6">
        <w:rPr>
          <w:sz w:val="28"/>
          <w:szCs w:val="24"/>
          <w:lang w:eastAsia="uk-UA"/>
        </w:rPr>
        <w:t>28/__</w:t>
      </w:r>
      <w:bookmarkStart w:id="0" w:name="_GoBack"/>
      <w:bookmarkEnd w:id="0"/>
      <w:r w:rsidRPr="000D043A">
        <w:rPr>
          <w:sz w:val="28"/>
          <w:szCs w:val="24"/>
          <w:lang w:eastAsia="uk-UA"/>
        </w:rPr>
        <w:t xml:space="preserve"> </w:t>
      </w:r>
    </w:p>
    <w:p w:rsidR="00096DFA" w:rsidRPr="00096DFA" w:rsidRDefault="00096DFA" w:rsidP="00096DFA">
      <w:pPr>
        <w:widowControl/>
        <w:autoSpaceDE/>
        <w:autoSpaceDN/>
        <w:ind w:left="5387"/>
        <w:rPr>
          <w:b/>
          <w:sz w:val="28"/>
          <w:szCs w:val="28"/>
          <w:lang w:eastAsia="ru-RU"/>
        </w:rPr>
      </w:pPr>
    </w:p>
    <w:p w:rsidR="00096DFA" w:rsidRPr="00096DFA" w:rsidRDefault="00096DFA" w:rsidP="00096DFA">
      <w:pPr>
        <w:widowControl/>
        <w:autoSpaceDE/>
        <w:autoSpaceDN/>
        <w:jc w:val="center"/>
        <w:rPr>
          <w:b/>
          <w:sz w:val="28"/>
          <w:szCs w:val="28"/>
          <w:lang w:eastAsia="ru-RU"/>
        </w:rPr>
      </w:pP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000000"/>
          <w:sz w:val="32"/>
          <w:szCs w:val="28"/>
          <w:bdr w:val="none" w:sz="0" w:space="0" w:color="auto" w:frame="1"/>
        </w:rPr>
        <w:t>ПОЛОЖЕННЯ</w:t>
      </w: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000000"/>
          <w:sz w:val="32"/>
          <w:szCs w:val="28"/>
          <w:bdr w:val="none" w:sz="0" w:space="0" w:color="auto" w:frame="1"/>
        </w:rPr>
        <w:t>Про єдиний податок</w:t>
      </w:r>
    </w:p>
    <w:p w:rsidR="00472A18" w:rsidRPr="000D043A" w:rsidRDefault="00472A18" w:rsidP="00472A18">
      <w:pPr>
        <w:pStyle w:val="aa"/>
        <w:shd w:val="clear" w:color="auto" w:fill="FFFFFF"/>
        <w:spacing w:before="0" w:beforeAutospacing="0" w:after="200" w:afterAutospacing="0"/>
        <w:jc w:val="center"/>
        <w:rPr>
          <w:rFonts w:ascii="Arial" w:hAnsi="Arial" w:cs="Arial"/>
          <w:color w:val="333333"/>
          <w:sz w:val="20"/>
          <w:szCs w:val="19"/>
        </w:rPr>
      </w:pPr>
      <w:r w:rsidRPr="000D043A">
        <w:rPr>
          <w:rFonts w:ascii="Arial" w:hAnsi="Arial" w:cs="Arial"/>
          <w:color w:val="333333"/>
          <w:sz w:val="20"/>
          <w:szCs w:val="19"/>
        </w:rPr>
        <w:t> </w:t>
      </w: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000000"/>
          <w:sz w:val="28"/>
          <w:bdr w:val="none" w:sz="0" w:space="0" w:color="auto" w:frame="1"/>
        </w:rPr>
        <w:t>1. Платники податку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1.1. Платниками єдиного податку є суб'єкти малого підприємництва - фізичні та юридичні особи з податковою адресою у межах Мар’янівської селищної ради Луцького району Волинської області, які відповідають вимогам спрощеної системи оподаткування, обліку та звітності, і які самостійно обрали даний спосіб оподаткування доходів та отримали свідоцтва платника єдиного податку.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 xml:space="preserve">1.2. Суб'єкти господарювання, які застосовують спрощену систему оподаткування, обліку та звітності та по </w:t>
      </w:r>
      <w:proofErr w:type="spellStart"/>
      <w:r w:rsidRPr="000D043A">
        <w:rPr>
          <w:color w:val="000000"/>
          <w:sz w:val="28"/>
          <w:bdr w:val="none" w:sz="0" w:space="0" w:color="auto" w:frame="1"/>
        </w:rPr>
        <w:t>яких Мар’янів</w:t>
      </w:r>
      <w:proofErr w:type="spellEnd"/>
      <w:r w:rsidRPr="000D043A">
        <w:rPr>
          <w:color w:val="000000"/>
          <w:sz w:val="28"/>
          <w:bdr w:val="none" w:sz="0" w:space="0" w:color="auto" w:frame="1"/>
        </w:rPr>
        <w:t>ською селищною радою встановлюються ставки податку, поділяються на такі групи платників єдиного податку: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1.2.1 Платники єдиного податку першої групи - це фізичні особи-підприємці,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300 000 гривень;</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1.2.2 До другої групи платників належать - фізичні особи-підприємці,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 не використовують працю найманих осіб або кількість осіб, які перебувають з ними у трудових відносинах, одночасно не перевищує 10 осіб;</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 обсяг доходу не перевищує 1 500 000 гривень.</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 xml:space="preserve">1.2.2.1 Дія підпункту 2.2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0D043A">
        <w:rPr>
          <w:color w:val="000000"/>
          <w:sz w:val="28"/>
          <w:bdr w:val="none" w:sz="0" w:space="0" w:color="auto" w:frame="1"/>
        </w:rPr>
        <w:t>напівдорогоцінного</w:t>
      </w:r>
      <w:proofErr w:type="spellEnd"/>
      <w:r w:rsidRPr="000D043A">
        <w:rPr>
          <w:color w:val="000000"/>
          <w:sz w:val="28"/>
          <w:bdr w:val="none" w:sz="0" w:space="0" w:color="auto" w:frame="1"/>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1.2.2.2 Вичерпний перелік видів послуг, які розуміються як побутові послуги населенню, що надаються першою та другою групами платників єдиного податку, визначений пунктом 291.7 статті 291 Податкового кодексу України.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shd w:val="clear" w:color="auto" w:fill="FFFFFF"/>
        </w:rPr>
        <w:t xml:space="preserve">1.2.3 До третьої групи платників належать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w:t>
      </w:r>
      <w:r w:rsidRPr="000D043A">
        <w:rPr>
          <w:sz w:val="28"/>
          <w:bdr w:val="none" w:sz="0" w:space="0" w:color="auto" w:frame="1"/>
          <w:shd w:val="clear" w:color="auto" w:fill="FFFFFF"/>
        </w:rPr>
        <w:lastRenderedPageBreak/>
        <w:t>господарювання будь-якої організаційно-правової форми, у яких протягом календарного року обсяг доходу не перевищує 5</w:t>
      </w:r>
      <w:r w:rsidR="001C0840">
        <w:rPr>
          <w:sz w:val="28"/>
          <w:bdr w:val="none" w:sz="0" w:space="0" w:color="auto" w:frame="1"/>
          <w:shd w:val="clear" w:color="auto" w:fill="FFFFFF"/>
        </w:rPr>
        <w:t xml:space="preserve"> </w:t>
      </w:r>
      <w:r w:rsidRPr="000D043A">
        <w:rPr>
          <w:sz w:val="28"/>
          <w:bdr w:val="none" w:sz="0" w:space="0" w:color="auto" w:frame="1"/>
          <w:shd w:val="clear" w:color="auto" w:fill="FFFFFF"/>
        </w:rPr>
        <w:t>000</w:t>
      </w:r>
      <w:r w:rsidR="001C0840">
        <w:rPr>
          <w:sz w:val="28"/>
          <w:bdr w:val="none" w:sz="0" w:space="0" w:color="auto" w:frame="1"/>
          <w:shd w:val="clear" w:color="auto" w:fill="FFFFFF"/>
        </w:rPr>
        <w:t xml:space="preserve"> </w:t>
      </w:r>
      <w:r w:rsidRPr="000D043A">
        <w:rPr>
          <w:sz w:val="28"/>
          <w:bdr w:val="none" w:sz="0" w:space="0" w:color="auto" w:frame="1"/>
          <w:shd w:val="clear" w:color="auto" w:fill="FFFFFF"/>
        </w:rPr>
        <w:t>000 гривень;</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1.2.4 Четвертою групою платників податків є такі сільськогосподарські товаровиробники: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xml:space="preserve">а) юридичні особи незалежно від організаційно-правової форми, у яких частка сільськогосподарського </w:t>
      </w:r>
      <w:proofErr w:type="spellStart"/>
      <w:r w:rsidRPr="000D043A">
        <w:rPr>
          <w:sz w:val="28"/>
          <w:bdr w:val="none" w:sz="0" w:space="0" w:color="auto" w:frame="1"/>
        </w:rPr>
        <w:t>товаровиробництва</w:t>
      </w:r>
      <w:proofErr w:type="spellEnd"/>
      <w:r w:rsidRPr="000D043A">
        <w:rPr>
          <w:sz w:val="28"/>
          <w:bdr w:val="none" w:sz="0" w:space="0" w:color="auto" w:frame="1"/>
        </w:rPr>
        <w:t xml:space="preserve"> за попередній податковий (звітний) рік дорівнює або перевищує 75 відсотків;</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б) фізичні особи - підприємці, які провадять діяльність виключно в межах фермерського господарства, зареєстрованого відповідно до Закону України "Про фермерське господарство", за умови виконання сукупності таких вимог:</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xml:space="preserve">- здійснюють виключно вирощування, відгодовування сільськогосподарської продукції, збирання, вилов, переробку такої </w:t>
      </w:r>
      <w:proofErr w:type="spellStart"/>
      <w:r w:rsidRPr="000D043A">
        <w:rPr>
          <w:sz w:val="28"/>
          <w:bdr w:val="none" w:sz="0" w:space="0" w:color="auto" w:frame="1"/>
        </w:rPr>
        <w:t>власновирощеної</w:t>
      </w:r>
      <w:proofErr w:type="spellEnd"/>
      <w:r w:rsidRPr="000D043A">
        <w:rPr>
          <w:sz w:val="28"/>
          <w:bdr w:val="none" w:sz="0" w:space="0" w:color="auto" w:frame="1"/>
        </w:rPr>
        <w:t xml:space="preserve"> або відгодованої продукції та її продаж;</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провадять господарську діяльність (крім постачання) за місцем податкової адреси;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не використовують працю найманих осіб;</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членами фермерського господарства такої фізичної особи є лише члени її сім’ї у визначенні частини другої статті 3 Сімейного кодексу України;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1.3.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1.4. Не можуть бути платниками єдиного  податку першої – другої  груп суб'єкти господарювання, які здійснюють діяльність, визначену  пунктом 291.5 статті 291 Податкового кодексу України; не можуть бути платниками єдиного податку четвертої групи суб’єкти господарювання згідно з підпунктами 291.5-1.1 та 291.5-1.2 статті 291 Податкового кодексу України.</w:t>
      </w:r>
    </w:p>
    <w:p w:rsidR="00472A18" w:rsidRPr="000D043A" w:rsidRDefault="00472A18" w:rsidP="00472A18">
      <w:pPr>
        <w:pStyle w:val="aa"/>
        <w:shd w:val="clear" w:color="auto" w:fill="FFFFFF"/>
        <w:spacing w:before="0" w:beforeAutospacing="0" w:after="200" w:afterAutospacing="0"/>
        <w:jc w:val="both"/>
        <w:rPr>
          <w:rFonts w:ascii="Arial" w:hAnsi="Arial" w:cs="Arial"/>
          <w:color w:val="333333"/>
          <w:sz w:val="20"/>
          <w:szCs w:val="19"/>
        </w:rPr>
      </w:pPr>
      <w:r w:rsidRPr="000D043A">
        <w:rPr>
          <w:rFonts w:ascii="Arial" w:hAnsi="Arial" w:cs="Arial"/>
          <w:color w:val="333333"/>
          <w:sz w:val="20"/>
          <w:szCs w:val="19"/>
        </w:rPr>
        <w:t> </w:t>
      </w: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000000"/>
          <w:sz w:val="28"/>
          <w:bdr w:val="none" w:sz="0" w:space="0" w:color="auto" w:frame="1"/>
        </w:rPr>
        <w:t>2. Об'єкт та база оподаткування для платників єдиного податку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2.1. Об’єктом оподаткування  є дохід платника єдиного податку, порядок визначення якого наведено в статті 292 Податкового кодексу України.</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 xml:space="preserve">2.2. База  оподаткування для платників єдиного податку першої </w:t>
      </w:r>
      <w:proofErr w:type="spellStart"/>
      <w:r w:rsidRPr="000D043A">
        <w:rPr>
          <w:color w:val="000000"/>
          <w:sz w:val="28"/>
          <w:bdr w:val="none" w:sz="0" w:space="0" w:color="auto" w:frame="1"/>
        </w:rPr>
        <w:t>–другої</w:t>
      </w:r>
      <w:proofErr w:type="spellEnd"/>
      <w:r w:rsidRPr="000D043A">
        <w:rPr>
          <w:color w:val="000000"/>
          <w:sz w:val="28"/>
          <w:bdr w:val="none" w:sz="0" w:space="0" w:color="auto" w:frame="1"/>
        </w:rPr>
        <w:t xml:space="preserve"> груп носить фіксований характер і не  залежить від суми одержаної виручки.</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2.3. Базою оподаткування для платників єдиного податку третьої групи є відсоткова ставка єдиного податку згідно з підпунктами 1, 2, пункту 293.3 статті 293 Податкового кодексу України.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2.4.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lastRenderedPageBreak/>
        <w:t>2.5.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1 січня базового податкового (звітного) року відповідно до порядку, встановленого Податковим кодексом України.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2.6. 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з урахуванням коефіцієнта індексації, визначеного за станом на 1 січня базового податкового (звітного) року відповідно до порядку, встановленого Податковим кодексом України.</w:t>
      </w:r>
    </w:p>
    <w:p w:rsidR="00472A18" w:rsidRPr="000D043A" w:rsidRDefault="00472A18" w:rsidP="00472A18">
      <w:pPr>
        <w:pStyle w:val="aa"/>
        <w:shd w:val="clear" w:color="auto" w:fill="FFFFFF"/>
        <w:spacing w:before="0" w:beforeAutospacing="0" w:after="200" w:afterAutospacing="0"/>
        <w:jc w:val="both"/>
        <w:rPr>
          <w:rFonts w:ascii="Arial" w:hAnsi="Arial" w:cs="Arial"/>
          <w:color w:val="333333"/>
          <w:sz w:val="20"/>
          <w:szCs w:val="19"/>
        </w:rPr>
      </w:pPr>
      <w:r w:rsidRPr="000D043A">
        <w:rPr>
          <w:rFonts w:ascii="Arial" w:hAnsi="Arial" w:cs="Arial"/>
          <w:color w:val="333333"/>
          <w:sz w:val="20"/>
          <w:szCs w:val="19"/>
        </w:rPr>
        <w:t> </w:t>
      </w: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000000"/>
          <w:sz w:val="28"/>
          <w:bdr w:val="none" w:sz="0" w:space="0" w:color="auto" w:frame="1"/>
        </w:rPr>
        <w:t>3.</w:t>
      </w:r>
      <w:r w:rsidR="00A40004">
        <w:rPr>
          <w:b/>
          <w:bCs/>
          <w:color w:val="000000"/>
          <w:sz w:val="28"/>
          <w:bdr w:val="none" w:sz="0" w:space="0" w:color="auto" w:frame="1"/>
        </w:rPr>
        <w:t xml:space="preserve"> </w:t>
      </w:r>
      <w:r w:rsidRPr="000D043A">
        <w:rPr>
          <w:b/>
          <w:bCs/>
          <w:color w:val="000000"/>
          <w:sz w:val="28"/>
          <w:bdr w:val="none" w:sz="0" w:space="0" w:color="auto" w:frame="1"/>
        </w:rPr>
        <w:t>Ставки єдиного податку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3.1 Мар’янівською селищною радою встановлюються фіксовані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 xml:space="preserve">– для першої групи платників встановлюються ставка єдиного податку у </w:t>
      </w:r>
      <w:proofErr w:type="spellStart"/>
      <w:r w:rsidRPr="000D043A">
        <w:rPr>
          <w:color w:val="000000"/>
          <w:sz w:val="28"/>
          <w:bdr w:val="none" w:sz="0" w:space="0" w:color="auto" w:frame="1"/>
        </w:rPr>
        <w:t>ро</w:t>
      </w:r>
      <w:proofErr w:type="spellEnd"/>
      <w:r w:rsidRPr="000D043A">
        <w:rPr>
          <w:color w:val="000000"/>
          <w:sz w:val="28"/>
          <w:bdr w:val="none" w:sz="0" w:space="0" w:color="auto" w:frame="1"/>
        </w:rPr>
        <w:t>змірі </w:t>
      </w:r>
      <w:r w:rsidRPr="000D043A">
        <w:rPr>
          <w:b/>
          <w:bCs/>
          <w:color w:val="000000"/>
          <w:sz w:val="28"/>
          <w:bdr w:val="none" w:sz="0" w:space="0" w:color="auto" w:frame="1"/>
        </w:rPr>
        <w:t>10 відсотків</w:t>
      </w:r>
      <w:r w:rsidRPr="000D043A">
        <w:rPr>
          <w:color w:val="000000"/>
          <w:sz w:val="28"/>
          <w:bdr w:val="none" w:sz="0" w:space="0" w:color="auto" w:frame="1"/>
        </w:rPr>
        <w:t> прожиткового мінімуму, встановленого законом на 1 січня податкового(звітного) року;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 xml:space="preserve">– для другої групи платників встановлюються - у </w:t>
      </w:r>
      <w:proofErr w:type="spellStart"/>
      <w:r w:rsidRPr="000D043A">
        <w:rPr>
          <w:color w:val="000000"/>
          <w:sz w:val="28"/>
          <w:bdr w:val="none" w:sz="0" w:space="0" w:color="auto" w:frame="1"/>
        </w:rPr>
        <w:t>ро</w:t>
      </w:r>
      <w:proofErr w:type="spellEnd"/>
      <w:r w:rsidRPr="000D043A">
        <w:rPr>
          <w:color w:val="000000"/>
          <w:sz w:val="28"/>
          <w:bdr w:val="none" w:sz="0" w:space="0" w:color="auto" w:frame="1"/>
        </w:rPr>
        <w:t>змірі </w:t>
      </w:r>
      <w:r w:rsidRPr="000D043A">
        <w:rPr>
          <w:b/>
          <w:bCs/>
          <w:color w:val="000000"/>
          <w:sz w:val="28"/>
          <w:bdr w:val="none" w:sz="0" w:space="0" w:color="auto" w:frame="1"/>
        </w:rPr>
        <w:t>20 відсотків</w:t>
      </w:r>
      <w:r w:rsidRPr="000D043A">
        <w:rPr>
          <w:color w:val="000000"/>
          <w:sz w:val="28"/>
          <w:bdr w:val="none" w:sz="0" w:space="0" w:color="auto" w:frame="1"/>
        </w:rPr>
        <w:t> розміру мінімальної заробітної плати, встановленої законом на 1 січня податкового (звітного) року.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3.2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для відповідної групи платників єдиного податку.</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3.3 Відсоткова ставка єдиного податку для платників третьої групи встановлюється у розмірі:</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а) 3 відсотки доходу - у разі сплати податку на додану вартість згідно з Податковим кодексом України;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б) 5 відсотків доходу - у разі включення податку на додану вартість до складу єдиного податку.</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3.4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згідно з пунктом 293.9 статті 293 Податкового кодексу України.</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3.5 Інші особливості справляння податку суб’єктами господарювання, які застосовують спрощену систему оподаткування, обліку та звітності, встановлюються главою І розділу </w:t>
      </w:r>
      <w:r w:rsidRPr="000D043A">
        <w:rPr>
          <w:sz w:val="28"/>
          <w:bdr w:val="none" w:sz="0" w:space="0" w:color="auto" w:frame="1"/>
          <w:lang w:val="en-US"/>
        </w:rPr>
        <w:t>XIV</w:t>
      </w:r>
      <w:r w:rsidRPr="000D043A">
        <w:rPr>
          <w:rFonts w:ascii="Calibri" w:hAnsi="Calibri" w:cs="Calibri"/>
          <w:szCs w:val="22"/>
          <w:bdr w:val="none" w:sz="0" w:space="0" w:color="auto" w:frame="1"/>
        </w:rPr>
        <w:t> </w:t>
      </w:r>
      <w:r w:rsidRPr="000D043A">
        <w:rPr>
          <w:sz w:val="28"/>
          <w:bdr w:val="none" w:sz="0" w:space="0" w:color="auto" w:frame="1"/>
        </w:rPr>
        <w:t>Податкового кодексу України.</w:t>
      </w:r>
    </w:p>
    <w:p w:rsidR="00472A18" w:rsidRDefault="00472A18" w:rsidP="00472A18">
      <w:pPr>
        <w:pStyle w:val="aa"/>
        <w:shd w:val="clear" w:color="auto" w:fill="FFFFFF"/>
        <w:spacing w:before="0" w:beforeAutospacing="0" w:after="200" w:afterAutospacing="0"/>
        <w:jc w:val="both"/>
        <w:rPr>
          <w:rFonts w:ascii="Arial" w:hAnsi="Arial" w:cs="Arial"/>
          <w:color w:val="333333"/>
          <w:sz w:val="20"/>
          <w:szCs w:val="19"/>
        </w:rPr>
      </w:pPr>
      <w:r w:rsidRPr="000D043A">
        <w:rPr>
          <w:rFonts w:ascii="Arial" w:hAnsi="Arial" w:cs="Arial"/>
          <w:color w:val="333333"/>
          <w:sz w:val="20"/>
          <w:szCs w:val="19"/>
        </w:rPr>
        <w:t> </w:t>
      </w:r>
    </w:p>
    <w:p w:rsidR="001C0840" w:rsidRDefault="001C0840" w:rsidP="00472A18">
      <w:pPr>
        <w:pStyle w:val="aa"/>
        <w:shd w:val="clear" w:color="auto" w:fill="FFFFFF"/>
        <w:spacing w:before="0" w:beforeAutospacing="0" w:after="200" w:afterAutospacing="0"/>
        <w:jc w:val="both"/>
        <w:rPr>
          <w:rFonts w:ascii="Arial" w:hAnsi="Arial" w:cs="Arial"/>
          <w:color w:val="333333"/>
          <w:sz w:val="20"/>
          <w:szCs w:val="19"/>
        </w:rPr>
      </w:pPr>
    </w:p>
    <w:p w:rsidR="001C0840" w:rsidRPr="000D043A" w:rsidRDefault="001C0840" w:rsidP="00472A18">
      <w:pPr>
        <w:pStyle w:val="aa"/>
        <w:shd w:val="clear" w:color="auto" w:fill="FFFFFF"/>
        <w:spacing w:before="0" w:beforeAutospacing="0" w:after="200" w:afterAutospacing="0"/>
        <w:jc w:val="both"/>
        <w:rPr>
          <w:rFonts w:ascii="Arial" w:hAnsi="Arial" w:cs="Arial"/>
          <w:color w:val="333333"/>
          <w:sz w:val="20"/>
          <w:szCs w:val="19"/>
        </w:rPr>
      </w:pP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000000"/>
          <w:sz w:val="28"/>
          <w:bdr w:val="none" w:sz="0" w:space="0" w:color="auto" w:frame="1"/>
        </w:rPr>
        <w:lastRenderedPageBreak/>
        <w:t>4. Податковим (звітним) період</w:t>
      </w:r>
    </w:p>
    <w:p w:rsidR="00472A18" w:rsidRPr="000D043A" w:rsidRDefault="00472A18" w:rsidP="00472A18">
      <w:pPr>
        <w:pStyle w:val="aa"/>
        <w:shd w:val="clear" w:color="auto" w:fill="FFFFFF"/>
        <w:tabs>
          <w:tab w:val="left" w:pos="567"/>
        </w:tabs>
        <w:spacing w:before="0" w:beforeAutospacing="0" w:after="0" w:afterAutospacing="0"/>
        <w:jc w:val="both"/>
        <w:rPr>
          <w:rFonts w:ascii="Arial" w:hAnsi="Arial" w:cs="Arial"/>
          <w:sz w:val="20"/>
          <w:szCs w:val="19"/>
        </w:rPr>
      </w:pPr>
      <w:r w:rsidRPr="000D043A">
        <w:rPr>
          <w:sz w:val="28"/>
          <w:bdr w:val="none" w:sz="0" w:space="0" w:color="auto" w:frame="1"/>
        </w:rPr>
        <w:t>4.1 </w:t>
      </w:r>
      <w:r w:rsidRPr="000D043A">
        <w:rPr>
          <w:sz w:val="28"/>
          <w:bdr w:val="none" w:sz="0" w:space="0" w:color="auto" w:frame="1"/>
          <w:shd w:val="clear" w:color="auto" w:fill="FFFFFF"/>
        </w:rPr>
        <w:t>Податковим (звітним) періодом для платників єдиного податку першої, другої та четвертої груп є календарний рік.</w:t>
      </w:r>
    </w:p>
    <w:p w:rsidR="00472A18" w:rsidRPr="000D043A" w:rsidRDefault="00472A18" w:rsidP="00472A18">
      <w:pPr>
        <w:pStyle w:val="aa"/>
        <w:shd w:val="clear" w:color="auto" w:fill="FFFFFF"/>
        <w:tabs>
          <w:tab w:val="left" w:pos="567"/>
        </w:tabs>
        <w:spacing w:before="0" w:beforeAutospacing="0" w:after="0" w:afterAutospacing="0"/>
        <w:jc w:val="both"/>
        <w:rPr>
          <w:rFonts w:ascii="Arial" w:hAnsi="Arial" w:cs="Arial"/>
          <w:sz w:val="20"/>
          <w:szCs w:val="19"/>
        </w:rPr>
      </w:pPr>
      <w:r w:rsidRPr="000D043A">
        <w:rPr>
          <w:sz w:val="28"/>
          <w:bdr w:val="none" w:sz="0" w:space="0" w:color="auto" w:frame="1"/>
          <w:shd w:val="clear" w:color="auto" w:fill="FFFFFF"/>
        </w:rPr>
        <w:t>4.2 Податковим (звітним) періодом для платників єдиного податку третьої групи є календарний квартал.</w:t>
      </w:r>
    </w:p>
    <w:p w:rsidR="00472A18" w:rsidRPr="000D043A" w:rsidRDefault="00472A18" w:rsidP="00472A18">
      <w:pPr>
        <w:pStyle w:val="aa"/>
        <w:shd w:val="clear" w:color="auto" w:fill="FFFFFF"/>
        <w:tabs>
          <w:tab w:val="left" w:pos="567"/>
        </w:tabs>
        <w:spacing w:before="0" w:beforeAutospacing="0" w:after="0" w:afterAutospacing="0"/>
        <w:jc w:val="both"/>
        <w:rPr>
          <w:rFonts w:ascii="Arial" w:hAnsi="Arial" w:cs="Arial"/>
          <w:sz w:val="20"/>
          <w:szCs w:val="19"/>
        </w:rPr>
      </w:pPr>
      <w:r w:rsidRPr="000D043A">
        <w:rPr>
          <w:sz w:val="28"/>
          <w:bdr w:val="none" w:sz="0" w:space="0" w:color="auto" w:frame="1"/>
        </w:rPr>
        <w:t>4.3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1C0840" w:rsidRDefault="001C0840" w:rsidP="00472A18">
      <w:pPr>
        <w:pStyle w:val="aa"/>
        <w:shd w:val="clear" w:color="auto" w:fill="FFFFFF"/>
        <w:spacing w:before="0" w:beforeAutospacing="0" w:after="0" w:afterAutospacing="0"/>
        <w:jc w:val="center"/>
        <w:rPr>
          <w:b/>
          <w:bCs/>
          <w:color w:val="333333"/>
          <w:sz w:val="28"/>
          <w:bdr w:val="none" w:sz="0" w:space="0" w:color="auto" w:frame="1"/>
        </w:rPr>
      </w:pP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333333"/>
          <w:sz w:val="28"/>
          <w:bdr w:val="none" w:sz="0" w:space="0" w:color="auto" w:frame="1"/>
        </w:rPr>
        <w:t>5. </w:t>
      </w:r>
      <w:r w:rsidRPr="000D043A">
        <w:rPr>
          <w:b/>
          <w:bCs/>
          <w:color w:val="000000"/>
          <w:sz w:val="28"/>
          <w:bdr w:val="none" w:sz="0" w:space="0" w:color="auto" w:frame="1"/>
        </w:rPr>
        <w:t>Порядок нарахування та строки сплати єдиного податку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5.1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472A18" w:rsidRPr="000D043A" w:rsidRDefault="00472A18" w:rsidP="00472A18">
      <w:pPr>
        <w:pStyle w:val="aa"/>
        <w:shd w:val="clear" w:color="auto" w:fill="FFFFFF"/>
        <w:spacing w:before="0" w:beforeAutospacing="0" w:after="0" w:afterAutospacing="0"/>
        <w:jc w:val="both"/>
        <w:rPr>
          <w:rFonts w:ascii="Arial" w:hAnsi="Arial" w:cs="Arial"/>
          <w:color w:val="333333"/>
          <w:sz w:val="20"/>
          <w:szCs w:val="19"/>
        </w:rPr>
      </w:pPr>
      <w:r w:rsidRPr="000D043A">
        <w:rPr>
          <w:color w:val="000000"/>
          <w:sz w:val="28"/>
          <w:bdr w:val="none" w:sz="0" w:space="0" w:color="auto" w:frame="1"/>
        </w:rPr>
        <w:t>5.2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shd w:val="clear" w:color="auto" w:fill="FFFFFF"/>
        </w:rPr>
        <w:t>5.3 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472A18" w:rsidRPr="000D043A" w:rsidRDefault="00472A18" w:rsidP="00472A18">
      <w:pPr>
        <w:pStyle w:val="ab"/>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5.4 Сплата єдиного податку платниками першої - другої груп здійснюється за місцем податкової адреси.</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5.5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shd w:val="clear" w:color="auto" w:fill="FFFFFF"/>
        </w:rPr>
        <w:t>5.6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5.7 </w:t>
      </w:r>
      <w:r w:rsidRPr="000D043A">
        <w:rPr>
          <w:sz w:val="28"/>
          <w:bdr w:val="none" w:sz="0" w:space="0" w:color="auto" w:frame="1"/>
          <w:shd w:val="clear" w:color="auto" w:fill="FFFFFF"/>
        </w:rPr>
        <w:t>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472A18" w:rsidRPr="000D043A" w:rsidRDefault="00472A18" w:rsidP="00472A18">
      <w:pPr>
        <w:pStyle w:val="aa"/>
        <w:shd w:val="clear" w:color="auto" w:fill="FFFFFF"/>
        <w:spacing w:before="0" w:beforeAutospacing="0" w:after="0" w:afterAutospacing="0"/>
        <w:rPr>
          <w:rFonts w:ascii="Arial" w:hAnsi="Arial" w:cs="Arial"/>
          <w:sz w:val="20"/>
          <w:szCs w:val="19"/>
        </w:rPr>
      </w:pPr>
      <w:r w:rsidRPr="000D043A">
        <w:rPr>
          <w:sz w:val="28"/>
          <w:bdr w:val="none" w:sz="0" w:space="0" w:color="auto" w:frame="1"/>
        </w:rPr>
        <w:t>5.8 Платники єдиного податку четвертої групи:</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цього Кодексу;</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lastRenderedPageBreak/>
        <w:t>- 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rsidR="00472A18" w:rsidRPr="000D043A" w:rsidRDefault="00472A18" w:rsidP="00472A18">
      <w:pPr>
        <w:pStyle w:val="aa"/>
        <w:shd w:val="clear" w:color="auto" w:fill="FFFFFF"/>
        <w:spacing w:before="0" w:beforeAutospacing="0" w:after="0" w:afterAutospacing="0"/>
        <w:rPr>
          <w:rFonts w:ascii="Arial" w:hAnsi="Arial" w:cs="Arial"/>
          <w:sz w:val="20"/>
          <w:szCs w:val="19"/>
        </w:rPr>
      </w:pPr>
      <w:r w:rsidRPr="000D043A">
        <w:rPr>
          <w:sz w:val="28"/>
          <w:bdr w:val="none" w:sz="0" w:space="0" w:color="auto" w:frame="1"/>
        </w:rPr>
        <w:t>у I кварталі - 10 відсотків;</w:t>
      </w:r>
    </w:p>
    <w:p w:rsidR="00472A18" w:rsidRPr="000D043A" w:rsidRDefault="00472A18" w:rsidP="00472A18">
      <w:pPr>
        <w:pStyle w:val="aa"/>
        <w:shd w:val="clear" w:color="auto" w:fill="FFFFFF"/>
        <w:spacing w:before="0" w:beforeAutospacing="0" w:after="0" w:afterAutospacing="0"/>
        <w:rPr>
          <w:rFonts w:ascii="Arial" w:hAnsi="Arial" w:cs="Arial"/>
          <w:sz w:val="20"/>
          <w:szCs w:val="19"/>
        </w:rPr>
      </w:pPr>
      <w:r w:rsidRPr="000D043A">
        <w:rPr>
          <w:sz w:val="28"/>
          <w:bdr w:val="none" w:sz="0" w:space="0" w:color="auto" w:frame="1"/>
        </w:rPr>
        <w:t>у II кварталі - 10 відсотків;</w:t>
      </w:r>
    </w:p>
    <w:p w:rsidR="00472A18" w:rsidRPr="000D043A" w:rsidRDefault="00472A18" w:rsidP="00472A18">
      <w:pPr>
        <w:pStyle w:val="aa"/>
        <w:shd w:val="clear" w:color="auto" w:fill="FFFFFF"/>
        <w:spacing w:before="0" w:beforeAutospacing="0" w:after="0" w:afterAutospacing="0"/>
        <w:rPr>
          <w:rFonts w:ascii="Arial" w:hAnsi="Arial" w:cs="Arial"/>
          <w:sz w:val="20"/>
          <w:szCs w:val="19"/>
        </w:rPr>
      </w:pPr>
      <w:r w:rsidRPr="000D043A">
        <w:rPr>
          <w:sz w:val="28"/>
          <w:bdr w:val="none" w:sz="0" w:space="0" w:color="auto" w:frame="1"/>
        </w:rPr>
        <w:t>у III кварталі - 50 відсотків;</w:t>
      </w:r>
    </w:p>
    <w:p w:rsidR="00472A18" w:rsidRPr="000D043A" w:rsidRDefault="00472A18" w:rsidP="00472A18">
      <w:pPr>
        <w:pStyle w:val="aa"/>
        <w:shd w:val="clear" w:color="auto" w:fill="FFFFFF"/>
        <w:spacing w:before="0" w:beforeAutospacing="0" w:after="0" w:afterAutospacing="0"/>
        <w:rPr>
          <w:rFonts w:ascii="Arial" w:hAnsi="Arial" w:cs="Arial"/>
          <w:sz w:val="20"/>
          <w:szCs w:val="19"/>
        </w:rPr>
      </w:pPr>
      <w:r w:rsidRPr="000D043A">
        <w:rPr>
          <w:sz w:val="28"/>
          <w:bdr w:val="none" w:sz="0" w:space="0" w:color="auto" w:frame="1"/>
        </w:rPr>
        <w:t>у IV кварталі - 30 відсотків;</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фізичні особи - підприємці, які у звітному періоді обрали спрощену систему оподаткування та ставку єдиного податку, встановлену для четвертої групи, або перейшли на застосування ставки єдиного податку, встановленої для четвертої групи, та юридичні особи, 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таке обрання/перехід, в якому відбулося утворення (виникнення права на земельну ділянку), а надалі - у порядку, визначеному пунктом 9.8.</w:t>
      </w:r>
    </w:p>
    <w:p w:rsidR="00472A18" w:rsidRPr="000D043A" w:rsidRDefault="00472A18" w:rsidP="00472A18">
      <w:pPr>
        <w:pStyle w:val="aa"/>
        <w:shd w:val="clear" w:color="auto" w:fill="FFFFFF"/>
        <w:spacing w:before="0" w:beforeAutospacing="0" w:after="0" w:afterAutospacing="0"/>
        <w:jc w:val="both"/>
        <w:rPr>
          <w:rFonts w:ascii="Arial" w:hAnsi="Arial" w:cs="Arial"/>
          <w:sz w:val="20"/>
          <w:szCs w:val="19"/>
        </w:rPr>
      </w:pPr>
      <w:r w:rsidRPr="000D043A">
        <w:rPr>
          <w:sz w:val="28"/>
          <w:bdr w:val="none" w:sz="0" w:space="0" w:color="auto" w:frame="1"/>
        </w:rPr>
        <w:t>- перераховують в установлений строк загальну суму коштів на відповідний рахунок місцевого бюджету за місцем розташування земельної ділянки.</w:t>
      </w:r>
    </w:p>
    <w:p w:rsidR="001C0840" w:rsidRDefault="001C0840" w:rsidP="00472A18">
      <w:pPr>
        <w:pStyle w:val="aa"/>
        <w:shd w:val="clear" w:color="auto" w:fill="FFFFFF"/>
        <w:spacing w:before="0" w:beforeAutospacing="0" w:after="0" w:afterAutospacing="0"/>
        <w:jc w:val="center"/>
        <w:rPr>
          <w:b/>
          <w:bCs/>
          <w:color w:val="333333"/>
          <w:sz w:val="28"/>
          <w:bdr w:val="none" w:sz="0" w:space="0" w:color="auto" w:frame="1"/>
          <w:shd w:val="clear" w:color="auto" w:fill="FFFFFF"/>
        </w:rPr>
      </w:pPr>
    </w:p>
    <w:p w:rsidR="00472A18" w:rsidRPr="000D043A" w:rsidRDefault="00472A18" w:rsidP="00472A18">
      <w:pPr>
        <w:pStyle w:val="aa"/>
        <w:shd w:val="clear" w:color="auto" w:fill="FFFFFF"/>
        <w:spacing w:before="0" w:beforeAutospacing="0" w:after="0" w:afterAutospacing="0"/>
        <w:jc w:val="center"/>
        <w:rPr>
          <w:rFonts w:ascii="Arial" w:hAnsi="Arial" w:cs="Arial"/>
          <w:color w:val="333333"/>
          <w:sz w:val="20"/>
          <w:szCs w:val="19"/>
        </w:rPr>
      </w:pPr>
      <w:r w:rsidRPr="000D043A">
        <w:rPr>
          <w:b/>
          <w:bCs/>
          <w:color w:val="333333"/>
          <w:sz w:val="28"/>
          <w:bdr w:val="none" w:sz="0" w:space="0" w:color="auto" w:frame="1"/>
          <w:shd w:val="clear" w:color="auto" w:fill="FFFFFF"/>
        </w:rPr>
        <w:t>6. Відповідальність платника єдиного податку</w:t>
      </w:r>
    </w:p>
    <w:p w:rsidR="00472A18" w:rsidRPr="000D043A" w:rsidRDefault="001C0840" w:rsidP="00472A18">
      <w:pPr>
        <w:pStyle w:val="aa"/>
        <w:shd w:val="clear" w:color="auto" w:fill="FFFFFF"/>
        <w:spacing w:before="0" w:beforeAutospacing="0" w:after="0" w:afterAutospacing="0"/>
        <w:jc w:val="both"/>
        <w:rPr>
          <w:rFonts w:ascii="Arial" w:hAnsi="Arial" w:cs="Arial"/>
          <w:color w:val="333333"/>
          <w:sz w:val="20"/>
          <w:szCs w:val="19"/>
        </w:rPr>
      </w:pPr>
      <w:r>
        <w:rPr>
          <w:color w:val="000000"/>
          <w:sz w:val="28"/>
          <w:bdr w:val="none" w:sz="0" w:space="0" w:color="auto" w:frame="1"/>
        </w:rPr>
        <w:t>6.</w:t>
      </w:r>
      <w:r w:rsidR="00472A18" w:rsidRPr="000D043A">
        <w:rPr>
          <w:color w:val="000000"/>
          <w:sz w:val="28"/>
          <w:bdr w:val="none" w:sz="0" w:space="0" w:color="auto" w:frame="1"/>
        </w:rPr>
        <w:t>1. Платники єдиного податку несуть відповідальність відповідно до Податкового кодексу України за правильність обчислення, своєчасність та повноту сплати сум єдиного податку, а також за своєчасність подання податкових декларацій.</w:t>
      </w:r>
      <w:r w:rsidR="00472A18" w:rsidRPr="000D043A">
        <w:rPr>
          <w:rFonts w:ascii="Arial" w:hAnsi="Arial" w:cs="Arial"/>
          <w:color w:val="333333"/>
          <w:sz w:val="20"/>
          <w:szCs w:val="19"/>
        </w:rPr>
        <w:t> </w:t>
      </w:r>
    </w:p>
    <w:p w:rsidR="00472A18" w:rsidRPr="000D043A" w:rsidRDefault="00472A18" w:rsidP="00472A18">
      <w:pPr>
        <w:pStyle w:val="aa"/>
        <w:shd w:val="clear" w:color="auto" w:fill="FFFFFF"/>
        <w:spacing w:before="0" w:beforeAutospacing="0" w:after="200" w:afterAutospacing="0"/>
        <w:jc w:val="both"/>
        <w:rPr>
          <w:rFonts w:ascii="Arial" w:hAnsi="Arial" w:cs="Arial"/>
          <w:color w:val="333333"/>
          <w:sz w:val="20"/>
          <w:szCs w:val="19"/>
        </w:rPr>
      </w:pPr>
      <w:r w:rsidRPr="000D043A">
        <w:rPr>
          <w:rFonts w:ascii="Arial" w:hAnsi="Arial" w:cs="Arial"/>
          <w:color w:val="333333"/>
          <w:sz w:val="20"/>
          <w:szCs w:val="19"/>
        </w:rPr>
        <w:t> </w:t>
      </w:r>
    </w:p>
    <w:p w:rsidR="00472A18" w:rsidRPr="000D043A" w:rsidRDefault="00472A18" w:rsidP="00472A18">
      <w:pPr>
        <w:pStyle w:val="aa"/>
        <w:shd w:val="clear" w:color="auto" w:fill="FFFFFF"/>
        <w:spacing w:before="0" w:beforeAutospacing="0" w:after="200" w:afterAutospacing="0"/>
        <w:jc w:val="both"/>
        <w:rPr>
          <w:rFonts w:ascii="Arial" w:hAnsi="Arial" w:cs="Arial"/>
          <w:color w:val="333333"/>
          <w:sz w:val="20"/>
          <w:szCs w:val="19"/>
        </w:rPr>
      </w:pPr>
      <w:r w:rsidRPr="000D043A">
        <w:rPr>
          <w:rFonts w:ascii="Arial" w:hAnsi="Arial" w:cs="Arial"/>
          <w:color w:val="333333"/>
          <w:sz w:val="20"/>
          <w:szCs w:val="19"/>
        </w:rPr>
        <w:t> </w:t>
      </w:r>
    </w:p>
    <w:p w:rsidR="00A26481" w:rsidRPr="000D043A" w:rsidRDefault="00A26481">
      <w:pPr>
        <w:pStyle w:val="a3"/>
        <w:tabs>
          <w:tab w:val="left" w:pos="6867"/>
        </w:tabs>
        <w:ind w:left="894"/>
        <w:rPr>
          <w:sz w:val="32"/>
          <w:szCs w:val="28"/>
        </w:rPr>
      </w:pPr>
    </w:p>
    <w:p w:rsidR="00096DFA" w:rsidRPr="000D043A" w:rsidRDefault="00096DFA" w:rsidP="00096DFA">
      <w:pPr>
        <w:pStyle w:val="a3"/>
        <w:tabs>
          <w:tab w:val="left" w:pos="6867"/>
        </w:tabs>
        <w:ind w:left="0"/>
        <w:rPr>
          <w:b/>
          <w:sz w:val="32"/>
          <w:szCs w:val="28"/>
        </w:rPr>
      </w:pPr>
      <w:r w:rsidRPr="000D043A">
        <w:rPr>
          <w:sz w:val="32"/>
          <w:szCs w:val="28"/>
        </w:rPr>
        <w:t>Селищний</w:t>
      </w:r>
      <w:r w:rsidR="001C0840">
        <w:rPr>
          <w:sz w:val="32"/>
          <w:szCs w:val="28"/>
        </w:rPr>
        <w:t xml:space="preserve"> </w:t>
      </w:r>
      <w:r w:rsidRPr="000D043A">
        <w:rPr>
          <w:sz w:val="32"/>
          <w:szCs w:val="28"/>
        </w:rPr>
        <w:t>голова</w:t>
      </w:r>
      <w:r w:rsidRPr="000D043A">
        <w:rPr>
          <w:sz w:val="32"/>
          <w:szCs w:val="28"/>
        </w:rPr>
        <w:tab/>
      </w:r>
      <w:r w:rsidR="005B4378">
        <w:rPr>
          <w:sz w:val="32"/>
          <w:szCs w:val="28"/>
        </w:rPr>
        <w:t xml:space="preserve">     </w:t>
      </w:r>
      <w:r w:rsidRPr="000D043A">
        <w:rPr>
          <w:b/>
          <w:sz w:val="32"/>
          <w:szCs w:val="28"/>
        </w:rPr>
        <w:t>Олег БАСАЛИК</w:t>
      </w:r>
    </w:p>
    <w:p w:rsidR="00096DFA" w:rsidRPr="000D043A" w:rsidRDefault="00096DFA" w:rsidP="00096DFA">
      <w:pPr>
        <w:pStyle w:val="a3"/>
        <w:tabs>
          <w:tab w:val="left" w:pos="6867"/>
        </w:tabs>
        <w:ind w:left="894"/>
        <w:rPr>
          <w:b/>
          <w:sz w:val="32"/>
          <w:szCs w:val="28"/>
        </w:rPr>
      </w:pPr>
    </w:p>
    <w:p w:rsidR="00A26481" w:rsidRPr="000D043A" w:rsidRDefault="00A26481">
      <w:pPr>
        <w:pStyle w:val="a3"/>
        <w:tabs>
          <w:tab w:val="left" w:pos="6867"/>
        </w:tabs>
        <w:ind w:left="894"/>
        <w:rPr>
          <w:sz w:val="32"/>
          <w:szCs w:val="28"/>
        </w:rPr>
      </w:pPr>
    </w:p>
    <w:sectPr w:rsidR="00A26481" w:rsidRPr="000D043A" w:rsidSect="00096DFA">
      <w:type w:val="continuous"/>
      <w:pgSz w:w="11910" w:h="16840"/>
      <w:pgMar w:top="1160" w:right="853"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117"/>
    <w:multiLevelType w:val="hybridMultilevel"/>
    <w:tmpl w:val="30A8E9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F900430"/>
    <w:multiLevelType w:val="hybridMultilevel"/>
    <w:tmpl w:val="BCBC27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DA934FF"/>
    <w:multiLevelType w:val="hybridMultilevel"/>
    <w:tmpl w:val="B0FC33BE"/>
    <w:lvl w:ilvl="0" w:tplc="62723DD4">
      <w:start w:val="1"/>
      <w:numFmt w:val="decimal"/>
      <w:lvlText w:val="%1."/>
      <w:lvlJc w:val="left"/>
      <w:pPr>
        <w:ind w:left="116" w:hanging="300"/>
      </w:pPr>
      <w:rPr>
        <w:rFonts w:ascii="Times New Roman" w:eastAsia="Times New Roman" w:hAnsi="Times New Roman" w:cs="Times New Roman" w:hint="default"/>
        <w:w w:val="100"/>
        <w:sz w:val="28"/>
        <w:szCs w:val="28"/>
      </w:rPr>
    </w:lvl>
    <w:lvl w:ilvl="1" w:tplc="750824D0">
      <w:numFmt w:val="bullet"/>
      <w:lvlText w:val="•"/>
      <w:lvlJc w:val="left"/>
      <w:pPr>
        <w:ind w:left="1094" w:hanging="300"/>
      </w:pPr>
      <w:rPr>
        <w:rFonts w:hint="default"/>
      </w:rPr>
    </w:lvl>
    <w:lvl w:ilvl="2" w:tplc="BB3431B8">
      <w:numFmt w:val="bullet"/>
      <w:lvlText w:val="•"/>
      <w:lvlJc w:val="left"/>
      <w:pPr>
        <w:ind w:left="2069" w:hanging="300"/>
      </w:pPr>
      <w:rPr>
        <w:rFonts w:hint="default"/>
      </w:rPr>
    </w:lvl>
    <w:lvl w:ilvl="3" w:tplc="C0225A6A">
      <w:numFmt w:val="bullet"/>
      <w:lvlText w:val="•"/>
      <w:lvlJc w:val="left"/>
      <w:pPr>
        <w:ind w:left="3043" w:hanging="300"/>
      </w:pPr>
      <w:rPr>
        <w:rFonts w:hint="default"/>
      </w:rPr>
    </w:lvl>
    <w:lvl w:ilvl="4" w:tplc="0666C36E">
      <w:numFmt w:val="bullet"/>
      <w:lvlText w:val="•"/>
      <w:lvlJc w:val="left"/>
      <w:pPr>
        <w:ind w:left="4018" w:hanging="300"/>
      </w:pPr>
      <w:rPr>
        <w:rFonts w:hint="default"/>
      </w:rPr>
    </w:lvl>
    <w:lvl w:ilvl="5" w:tplc="DB1C7070">
      <w:numFmt w:val="bullet"/>
      <w:lvlText w:val="•"/>
      <w:lvlJc w:val="left"/>
      <w:pPr>
        <w:ind w:left="4993" w:hanging="300"/>
      </w:pPr>
      <w:rPr>
        <w:rFonts w:hint="default"/>
      </w:rPr>
    </w:lvl>
    <w:lvl w:ilvl="6" w:tplc="14601F74">
      <w:numFmt w:val="bullet"/>
      <w:lvlText w:val="•"/>
      <w:lvlJc w:val="left"/>
      <w:pPr>
        <w:ind w:left="5967" w:hanging="300"/>
      </w:pPr>
      <w:rPr>
        <w:rFonts w:hint="default"/>
      </w:rPr>
    </w:lvl>
    <w:lvl w:ilvl="7" w:tplc="01A0AA64">
      <w:numFmt w:val="bullet"/>
      <w:lvlText w:val="•"/>
      <w:lvlJc w:val="left"/>
      <w:pPr>
        <w:ind w:left="6942" w:hanging="300"/>
      </w:pPr>
      <w:rPr>
        <w:rFonts w:hint="default"/>
      </w:rPr>
    </w:lvl>
    <w:lvl w:ilvl="8" w:tplc="5F327FCE">
      <w:numFmt w:val="bullet"/>
      <w:lvlText w:val="•"/>
      <w:lvlJc w:val="left"/>
      <w:pPr>
        <w:ind w:left="7917" w:hanging="3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0E"/>
    <w:rsid w:val="0000149C"/>
    <w:rsid w:val="000814F8"/>
    <w:rsid w:val="00096DFA"/>
    <w:rsid w:val="000B33A1"/>
    <w:rsid w:val="000D043A"/>
    <w:rsid w:val="001A55E1"/>
    <w:rsid w:val="001C0840"/>
    <w:rsid w:val="001E4DE3"/>
    <w:rsid w:val="00244E61"/>
    <w:rsid w:val="00265B86"/>
    <w:rsid w:val="002D3283"/>
    <w:rsid w:val="003B21E2"/>
    <w:rsid w:val="004349B5"/>
    <w:rsid w:val="0046470A"/>
    <w:rsid w:val="00472A18"/>
    <w:rsid w:val="00502EE0"/>
    <w:rsid w:val="00526FD9"/>
    <w:rsid w:val="0057154B"/>
    <w:rsid w:val="00581923"/>
    <w:rsid w:val="00583F00"/>
    <w:rsid w:val="005B102C"/>
    <w:rsid w:val="005B206A"/>
    <w:rsid w:val="005B4378"/>
    <w:rsid w:val="005D49D0"/>
    <w:rsid w:val="006F2DAF"/>
    <w:rsid w:val="007359E6"/>
    <w:rsid w:val="007C78F2"/>
    <w:rsid w:val="00810426"/>
    <w:rsid w:val="00823725"/>
    <w:rsid w:val="0085538A"/>
    <w:rsid w:val="008C5AF3"/>
    <w:rsid w:val="008D5B3F"/>
    <w:rsid w:val="009E7743"/>
    <w:rsid w:val="00A26481"/>
    <w:rsid w:val="00A40004"/>
    <w:rsid w:val="00B52CB4"/>
    <w:rsid w:val="00B6018C"/>
    <w:rsid w:val="00B650DF"/>
    <w:rsid w:val="00B709DB"/>
    <w:rsid w:val="00B77318"/>
    <w:rsid w:val="00BF4218"/>
    <w:rsid w:val="00C31904"/>
    <w:rsid w:val="00CC3DAC"/>
    <w:rsid w:val="00D75FA4"/>
    <w:rsid w:val="00D91080"/>
    <w:rsid w:val="00EF1D42"/>
    <w:rsid w:val="00F47ABC"/>
    <w:rsid w:val="00FA0F0E"/>
    <w:rsid w:val="00FE147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B3F"/>
    <w:pPr>
      <w:widowControl w:val="0"/>
      <w:autoSpaceDE w:val="0"/>
      <w:autoSpaceDN w:val="0"/>
    </w:pPr>
    <w:rPr>
      <w:rFonts w:ascii="Times New Roman" w:eastAsia="Times New Roman" w:hAnsi="Times New Roman"/>
      <w:lang w:val="uk-UA" w:eastAsia="en-US"/>
    </w:rPr>
  </w:style>
  <w:style w:type="paragraph" w:styleId="1">
    <w:name w:val="heading 1"/>
    <w:basedOn w:val="a"/>
    <w:link w:val="10"/>
    <w:uiPriority w:val="99"/>
    <w:qFormat/>
    <w:rsid w:val="008D5B3F"/>
    <w:pPr>
      <w:spacing w:line="367" w:lineRule="exact"/>
      <w:ind w:left="529" w:right="61"/>
      <w:jc w:val="center"/>
      <w:outlineLvl w:val="0"/>
    </w:pPr>
    <w:rPr>
      <w:rFonts w:ascii="Cambria" w:eastAsia="Calibri" w:hAnsi="Cambria"/>
      <w:b/>
      <w:bCs/>
      <w:kern w:val="32"/>
      <w:sz w:val="32"/>
      <w:szCs w:val="32"/>
    </w:rPr>
  </w:style>
  <w:style w:type="paragraph" w:styleId="2">
    <w:name w:val="heading 2"/>
    <w:basedOn w:val="a"/>
    <w:next w:val="a"/>
    <w:link w:val="20"/>
    <w:semiHidden/>
    <w:unhideWhenUsed/>
    <w:qFormat/>
    <w:locked/>
    <w:rsid w:val="00096D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D49D0"/>
    <w:rPr>
      <w:rFonts w:ascii="Cambria" w:hAnsi="Cambria"/>
      <w:b/>
      <w:kern w:val="32"/>
      <w:sz w:val="32"/>
      <w:lang w:val="uk-UA" w:eastAsia="en-US"/>
    </w:rPr>
  </w:style>
  <w:style w:type="table" w:customStyle="1" w:styleId="TableNormal1">
    <w:name w:val="Table Normal1"/>
    <w:uiPriority w:val="99"/>
    <w:semiHidden/>
    <w:rsid w:val="008D5B3F"/>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8D5B3F"/>
    <w:pPr>
      <w:ind w:left="116"/>
    </w:pPr>
    <w:rPr>
      <w:rFonts w:eastAsia="Calibri"/>
      <w:sz w:val="20"/>
      <w:szCs w:val="20"/>
    </w:rPr>
  </w:style>
  <w:style w:type="character" w:customStyle="1" w:styleId="a4">
    <w:name w:val="Основной текст Знак"/>
    <w:basedOn w:val="a0"/>
    <w:link w:val="a3"/>
    <w:uiPriority w:val="99"/>
    <w:semiHidden/>
    <w:locked/>
    <w:rsid w:val="005D49D0"/>
    <w:rPr>
      <w:rFonts w:ascii="Times New Roman" w:hAnsi="Times New Roman"/>
      <w:lang w:val="uk-UA" w:eastAsia="en-US"/>
    </w:rPr>
  </w:style>
  <w:style w:type="paragraph" w:styleId="a5">
    <w:name w:val="Title"/>
    <w:basedOn w:val="a"/>
    <w:link w:val="a6"/>
    <w:uiPriority w:val="99"/>
    <w:qFormat/>
    <w:rsid w:val="008D5B3F"/>
    <w:pPr>
      <w:spacing w:line="411" w:lineRule="exact"/>
      <w:ind w:left="529" w:right="342"/>
      <w:jc w:val="center"/>
    </w:pPr>
    <w:rPr>
      <w:rFonts w:ascii="Cambria" w:eastAsia="Calibri" w:hAnsi="Cambria"/>
      <w:b/>
      <w:bCs/>
      <w:kern w:val="28"/>
      <w:sz w:val="32"/>
      <w:szCs w:val="32"/>
    </w:rPr>
  </w:style>
  <w:style w:type="character" w:customStyle="1" w:styleId="a6">
    <w:name w:val="Название Знак"/>
    <w:basedOn w:val="a0"/>
    <w:link w:val="a5"/>
    <w:uiPriority w:val="99"/>
    <w:locked/>
    <w:rsid w:val="005D49D0"/>
    <w:rPr>
      <w:rFonts w:ascii="Cambria" w:hAnsi="Cambria"/>
      <w:b/>
      <w:kern w:val="28"/>
      <w:sz w:val="32"/>
      <w:lang w:val="uk-UA" w:eastAsia="en-US"/>
    </w:rPr>
  </w:style>
  <w:style w:type="paragraph" w:styleId="a7">
    <w:name w:val="List Paragraph"/>
    <w:basedOn w:val="a"/>
    <w:uiPriority w:val="99"/>
    <w:qFormat/>
    <w:rsid w:val="008D5B3F"/>
    <w:pPr>
      <w:ind w:left="116" w:right="106" w:firstLine="719"/>
      <w:jc w:val="both"/>
    </w:pPr>
  </w:style>
  <w:style w:type="paragraph" w:customStyle="1" w:styleId="TableParagraph">
    <w:name w:val="Table Paragraph"/>
    <w:basedOn w:val="a"/>
    <w:uiPriority w:val="99"/>
    <w:rsid w:val="008D5B3F"/>
  </w:style>
  <w:style w:type="paragraph" w:styleId="a8">
    <w:name w:val="Balloon Text"/>
    <w:basedOn w:val="a"/>
    <w:link w:val="a9"/>
    <w:uiPriority w:val="99"/>
    <w:semiHidden/>
    <w:unhideWhenUsed/>
    <w:rsid w:val="00096DFA"/>
    <w:rPr>
      <w:rFonts w:ascii="Tahoma" w:hAnsi="Tahoma" w:cs="Tahoma"/>
      <w:sz w:val="16"/>
      <w:szCs w:val="16"/>
    </w:rPr>
  </w:style>
  <w:style w:type="character" w:customStyle="1" w:styleId="a9">
    <w:name w:val="Текст выноски Знак"/>
    <w:basedOn w:val="a0"/>
    <w:link w:val="a8"/>
    <w:uiPriority w:val="99"/>
    <w:semiHidden/>
    <w:rsid w:val="00096DFA"/>
    <w:rPr>
      <w:rFonts w:ascii="Tahoma" w:eastAsia="Times New Roman" w:hAnsi="Tahoma" w:cs="Tahoma"/>
      <w:sz w:val="16"/>
      <w:szCs w:val="16"/>
      <w:lang w:val="uk-UA" w:eastAsia="en-US"/>
    </w:rPr>
  </w:style>
  <w:style w:type="character" w:customStyle="1" w:styleId="20">
    <w:name w:val="Заголовок 2 Знак"/>
    <w:basedOn w:val="a0"/>
    <w:link w:val="2"/>
    <w:semiHidden/>
    <w:rsid w:val="00096DFA"/>
    <w:rPr>
      <w:rFonts w:asciiTheme="majorHAnsi" w:eastAsiaTheme="majorEastAsia" w:hAnsiTheme="majorHAnsi" w:cstheme="majorBidi"/>
      <w:b/>
      <w:bCs/>
      <w:color w:val="4F81BD" w:themeColor="accent1"/>
      <w:sz w:val="26"/>
      <w:szCs w:val="26"/>
      <w:lang w:val="uk-UA" w:eastAsia="en-US"/>
    </w:rPr>
  </w:style>
  <w:style w:type="paragraph" w:styleId="aa">
    <w:name w:val="Normal (Web)"/>
    <w:basedOn w:val="a"/>
    <w:uiPriority w:val="99"/>
    <w:semiHidden/>
    <w:unhideWhenUsed/>
    <w:rsid w:val="00472A18"/>
    <w:pPr>
      <w:widowControl/>
      <w:autoSpaceDE/>
      <w:autoSpaceDN/>
      <w:spacing w:before="100" w:beforeAutospacing="1" w:after="100" w:afterAutospacing="1"/>
    </w:pPr>
    <w:rPr>
      <w:sz w:val="24"/>
      <w:szCs w:val="24"/>
      <w:lang w:eastAsia="uk-UA"/>
    </w:rPr>
  </w:style>
  <w:style w:type="paragraph" w:styleId="ab">
    <w:name w:val="No Spacing"/>
    <w:basedOn w:val="a"/>
    <w:uiPriority w:val="1"/>
    <w:qFormat/>
    <w:rsid w:val="00472A18"/>
    <w:pPr>
      <w:widowControl/>
      <w:autoSpaceDE/>
      <w:autoSpaceDN/>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B3F"/>
    <w:pPr>
      <w:widowControl w:val="0"/>
      <w:autoSpaceDE w:val="0"/>
      <w:autoSpaceDN w:val="0"/>
    </w:pPr>
    <w:rPr>
      <w:rFonts w:ascii="Times New Roman" w:eastAsia="Times New Roman" w:hAnsi="Times New Roman"/>
      <w:lang w:val="uk-UA" w:eastAsia="en-US"/>
    </w:rPr>
  </w:style>
  <w:style w:type="paragraph" w:styleId="1">
    <w:name w:val="heading 1"/>
    <w:basedOn w:val="a"/>
    <w:link w:val="10"/>
    <w:uiPriority w:val="99"/>
    <w:qFormat/>
    <w:rsid w:val="008D5B3F"/>
    <w:pPr>
      <w:spacing w:line="367" w:lineRule="exact"/>
      <w:ind w:left="529" w:right="61"/>
      <w:jc w:val="center"/>
      <w:outlineLvl w:val="0"/>
    </w:pPr>
    <w:rPr>
      <w:rFonts w:ascii="Cambria" w:eastAsia="Calibri" w:hAnsi="Cambria"/>
      <w:b/>
      <w:bCs/>
      <w:kern w:val="32"/>
      <w:sz w:val="32"/>
      <w:szCs w:val="32"/>
    </w:rPr>
  </w:style>
  <w:style w:type="paragraph" w:styleId="2">
    <w:name w:val="heading 2"/>
    <w:basedOn w:val="a"/>
    <w:next w:val="a"/>
    <w:link w:val="20"/>
    <w:semiHidden/>
    <w:unhideWhenUsed/>
    <w:qFormat/>
    <w:locked/>
    <w:rsid w:val="00096D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D49D0"/>
    <w:rPr>
      <w:rFonts w:ascii="Cambria" w:hAnsi="Cambria"/>
      <w:b/>
      <w:kern w:val="32"/>
      <w:sz w:val="32"/>
      <w:lang w:val="uk-UA" w:eastAsia="en-US"/>
    </w:rPr>
  </w:style>
  <w:style w:type="table" w:customStyle="1" w:styleId="TableNormal1">
    <w:name w:val="Table Normal1"/>
    <w:uiPriority w:val="99"/>
    <w:semiHidden/>
    <w:rsid w:val="008D5B3F"/>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8D5B3F"/>
    <w:pPr>
      <w:ind w:left="116"/>
    </w:pPr>
    <w:rPr>
      <w:rFonts w:eastAsia="Calibri"/>
      <w:sz w:val="20"/>
      <w:szCs w:val="20"/>
    </w:rPr>
  </w:style>
  <w:style w:type="character" w:customStyle="1" w:styleId="a4">
    <w:name w:val="Основной текст Знак"/>
    <w:basedOn w:val="a0"/>
    <w:link w:val="a3"/>
    <w:uiPriority w:val="99"/>
    <w:semiHidden/>
    <w:locked/>
    <w:rsid w:val="005D49D0"/>
    <w:rPr>
      <w:rFonts w:ascii="Times New Roman" w:hAnsi="Times New Roman"/>
      <w:lang w:val="uk-UA" w:eastAsia="en-US"/>
    </w:rPr>
  </w:style>
  <w:style w:type="paragraph" w:styleId="a5">
    <w:name w:val="Title"/>
    <w:basedOn w:val="a"/>
    <w:link w:val="a6"/>
    <w:uiPriority w:val="99"/>
    <w:qFormat/>
    <w:rsid w:val="008D5B3F"/>
    <w:pPr>
      <w:spacing w:line="411" w:lineRule="exact"/>
      <w:ind w:left="529" w:right="342"/>
      <w:jc w:val="center"/>
    </w:pPr>
    <w:rPr>
      <w:rFonts w:ascii="Cambria" w:eastAsia="Calibri" w:hAnsi="Cambria"/>
      <w:b/>
      <w:bCs/>
      <w:kern w:val="28"/>
      <w:sz w:val="32"/>
      <w:szCs w:val="32"/>
    </w:rPr>
  </w:style>
  <w:style w:type="character" w:customStyle="1" w:styleId="a6">
    <w:name w:val="Название Знак"/>
    <w:basedOn w:val="a0"/>
    <w:link w:val="a5"/>
    <w:uiPriority w:val="99"/>
    <w:locked/>
    <w:rsid w:val="005D49D0"/>
    <w:rPr>
      <w:rFonts w:ascii="Cambria" w:hAnsi="Cambria"/>
      <w:b/>
      <w:kern w:val="28"/>
      <w:sz w:val="32"/>
      <w:lang w:val="uk-UA" w:eastAsia="en-US"/>
    </w:rPr>
  </w:style>
  <w:style w:type="paragraph" w:styleId="a7">
    <w:name w:val="List Paragraph"/>
    <w:basedOn w:val="a"/>
    <w:uiPriority w:val="99"/>
    <w:qFormat/>
    <w:rsid w:val="008D5B3F"/>
    <w:pPr>
      <w:ind w:left="116" w:right="106" w:firstLine="719"/>
      <w:jc w:val="both"/>
    </w:pPr>
  </w:style>
  <w:style w:type="paragraph" w:customStyle="1" w:styleId="TableParagraph">
    <w:name w:val="Table Paragraph"/>
    <w:basedOn w:val="a"/>
    <w:uiPriority w:val="99"/>
    <w:rsid w:val="008D5B3F"/>
  </w:style>
  <w:style w:type="paragraph" w:styleId="a8">
    <w:name w:val="Balloon Text"/>
    <w:basedOn w:val="a"/>
    <w:link w:val="a9"/>
    <w:uiPriority w:val="99"/>
    <w:semiHidden/>
    <w:unhideWhenUsed/>
    <w:rsid w:val="00096DFA"/>
    <w:rPr>
      <w:rFonts w:ascii="Tahoma" w:hAnsi="Tahoma" w:cs="Tahoma"/>
      <w:sz w:val="16"/>
      <w:szCs w:val="16"/>
    </w:rPr>
  </w:style>
  <w:style w:type="character" w:customStyle="1" w:styleId="a9">
    <w:name w:val="Текст выноски Знак"/>
    <w:basedOn w:val="a0"/>
    <w:link w:val="a8"/>
    <w:uiPriority w:val="99"/>
    <w:semiHidden/>
    <w:rsid w:val="00096DFA"/>
    <w:rPr>
      <w:rFonts w:ascii="Tahoma" w:eastAsia="Times New Roman" w:hAnsi="Tahoma" w:cs="Tahoma"/>
      <w:sz w:val="16"/>
      <w:szCs w:val="16"/>
      <w:lang w:val="uk-UA" w:eastAsia="en-US"/>
    </w:rPr>
  </w:style>
  <w:style w:type="character" w:customStyle="1" w:styleId="20">
    <w:name w:val="Заголовок 2 Знак"/>
    <w:basedOn w:val="a0"/>
    <w:link w:val="2"/>
    <w:semiHidden/>
    <w:rsid w:val="00096DFA"/>
    <w:rPr>
      <w:rFonts w:asciiTheme="majorHAnsi" w:eastAsiaTheme="majorEastAsia" w:hAnsiTheme="majorHAnsi" w:cstheme="majorBidi"/>
      <w:b/>
      <w:bCs/>
      <w:color w:val="4F81BD" w:themeColor="accent1"/>
      <w:sz w:val="26"/>
      <w:szCs w:val="26"/>
      <w:lang w:val="uk-UA" w:eastAsia="en-US"/>
    </w:rPr>
  </w:style>
  <w:style w:type="paragraph" w:styleId="aa">
    <w:name w:val="Normal (Web)"/>
    <w:basedOn w:val="a"/>
    <w:uiPriority w:val="99"/>
    <w:semiHidden/>
    <w:unhideWhenUsed/>
    <w:rsid w:val="00472A18"/>
    <w:pPr>
      <w:widowControl/>
      <w:autoSpaceDE/>
      <w:autoSpaceDN/>
      <w:spacing w:before="100" w:beforeAutospacing="1" w:after="100" w:afterAutospacing="1"/>
    </w:pPr>
    <w:rPr>
      <w:sz w:val="24"/>
      <w:szCs w:val="24"/>
      <w:lang w:eastAsia="uk-UA"/>
    </w:rPr>
  </w:style>
  <w:style w:type="paragraph" w:styleId="ab">
    <w:name w:val="No Spacing"/>
    <w:basedOn w:val="a"/>
    <w:uiPriority w:val="1"/>
    <w:qFormat/>
    <w:rsid w:val="00472A18"/>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7867</Words>
  <Characters>4485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Windows</cp:lastModifiedBy>
  <cp:revision>3</cp:revision>
  <dcterms:created xsi:type="dcterms:W3CDTF">2021-07-12T14:31:00Z</dcterms:created>
  <dcterms:modified xsi:type="dcterms:W3CDTF">2022-07-05T14:05:00Z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