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06" w:rsidRPr="00832C58" w:rsidRDefault="00EA4606" w:rsidP="00EA4606">
      <w:pPr>
        <w:ind w:left="5245"/>
        <w:rPr>
          <w:lang w:val="uk-UA"/>
        </w:rPr>
      </w:pPr>
      <w:r w:rsidRPr="00832C58">
        <w:rPr>
          <w:lang w:val="uk-UA"/>
        </w:rPr>
        <w:t>ЗАТВЕРДЖЕНО</w:t>
      </w:r>
    </w:p>
    <w:p w:rsidR="00EA4606" w:rsidRPr="00832C58" w:rsidRDefault="00EA4606" w:rsidP="00EA4606">
      <w:pPr>
        <w:ind w:left="5245"/>
        <w:rPr>
          <w:lang w:val="uk-UA"/>
        </w:rPr>
      </w:pPr>
      <w:r w:rsidRPr="00832C58">
        <w:rPr>
          <w:lang w:val="uk-UA"/>
        </w:rPr>
        <w:t xml:space="preserve">Рішення виконавчого комітету </w:t>
      </w:r>
    </w:p>
    <w:p w:rsidR="00EA4606" w:rsidRPr="00832C58" w:rsidRDefault="00EA4606" w:rsidP="00EA4606">
      <w:pPr>
        <w:ind w:left="5245"/>
        <w:rPr>
          <w:lang w:val="uk-UA"/>
        </w:rPr>
      </w:pPr>
      <w:proofErr w:type="spellStart"/>
      <w:r w:rsidRPr="00832C58">
        <w:rPr>
          <w:lang w:val="uk-UA"/>
        </w:rPr>
        <w:t>Мар’янівської</w:t>
      </w:r>
      <w:proofErr w:type="spellEnd"/>
      <w:r w:rsidRPr="00832C58">
        <w:rPr>
          <w:lang w:val="uk-UA"/>
        </w:rPr>
        <w:t xml:space="preserve"> селищної ради </w:t>
      </w:r>
    </w:p>
    <w:p w:rsidR="00EA4606" w:rsidRPr="00832C58" w:rsidRDefault="00166F4F" w:rsidP="00EA4606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CB31A7">
        <w:rPr>
          <w:lang w:val="uk-UA"/>
        </w:rPr>
        <w:t xml:space="preserve">30.01.2025 </w:t>
      </w:r>
      <w:r w:rsidR="00E20DA9">
        <w:rPr>
          <w:lang w:val="uk-UA"/>
        </w:rPr>
        <w:t xml:space="preserve"> </w:t>
      </w:r>
      <w:r w:rsidR="00EA4606" w:rsidRPr="00832C58">
        <w:rPr>
          <w:lang w:val="uk-UA"/>
        </w:rPr>
        <w:t xml:space="preserve">№ </w:t>
      </w:r>
      <w:r w:rsidR="00CB31A7">
        <w:rPr>
          <w:lang w:val="uk-UA"/>
        </w:rPr>
        <w:t xml:space="preserve"> 1</w:t>
      </w:r>
    </w:p>
    <w:p w:rsidR="00EA4606" w:rsidRPr="00832C58" w:rsidRDefault="00EA4606" w:rsidP="00EA4606">
      <w:pPr>
        <w:rPr>
          <w:lang w:val="uk-UA"/>
        </w:rPr>
      </w:pPr>
    </w:p>
    <w:tbl>
      <w:tblPr>
        <w:tblW w:w="10301" w:type="dxa"/>
        <w:tblInd w:w="-34" w:type="dxa"/>
        <w:tblLayout w:type="fixed"/>
        <w:tblLook w:val="04A0"/>
      </w:tblPr>
      <w:tblGrid>
        <w:gridCol w:w="10065"/>
        <w:gridCol w:w="236"/>
      </w:tblGrid>
      <w:tr w:rsidR="00166F4F" w:rsidRPr="00EA4606" w:rsidTr="007A665A">
        <w:tc>
          <w:tcPr>
            <w:tcW w:w="10065" w:type="dxa"/>
            <w:hideMark/>
          </w:tcPr>
          <w:p w:rsidR="00166F4F" w:rsidRPr="00EA4606" w:rsidRDefault="00166F4F" w:rsidP="00ED79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lang w:val="uk-UA"/>
              </w:rPr>
            </w:pPr>
            <w:r w:rsidRPr="00EA4606">
              <w:rPr>
                <w:b/>
                <w:lang w:val="uk-UA"/>
              </w:rPr>
              <w:t>ТЕХНОЛОГІЧНА  КАРТКА 1</w:t>
            </w:r>
            <w:r w:rsidR="00CB31A7">
              <w:rPr>
                <w:b/>
                <w:lang w:val="uk-UA"/>
              </w:rPr>
              <w:t>3</w:t>
            </w:r>
            <w:r w:rsidRPr="00EA4606">
              <w:rPr>
                <w:b/>
                <w:lang w:val="uk-UA"/>
              </w:rPr>
              <w:t xml:space="preserve"> – 11  ( 00235)</w:t>
            </w:r>
          </w:p>
          <w:p w:rsidR="00166F4F" w:rsidRPr="00EA4606" w:rsidRDefault="00166F4F" w:rsidP="00ED79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lang w:val="uk-UA"/>
              </w:rPr>
            </w:pPr>
            <w:r w:rsidRPr="00EA4606">
              <w:rPr>
                <w:b/>
                <w:lang w:val="uk-UA"/>
              </w:rPr>
              <w:t>адміністративної послуги</w:t>
            </w:r>
          </w:p>
          <w:p w:rsidR="00166F4F" w:rsidRDefault="00166F4F" w:rsidP="00ED79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lang w:val="uk-UA"/>
              </w:rPr>
            </w:pPr>
            <w:r w:rsidRPr="00EA4606">
              <w:rPr>
                <w:b/>
                <w:lang w:val="uk-UA"/>
              </w:rPr>
              <w:t xml:space="preserve">ВИДАЧА ВИПИСКИ З ЄДИНОГО ДЕРЖАВНОГО РЕЄСТРУ ЮРИДИЧНИХ </w:t>
            </w:r>
            <w:bookmarkStart w:id="0" w:name="_GoBack"/>
            <w:bookmarkEnd w:id="0"/>
            <w:r w:rsidRPr="00EA4606">
              <w:rPr>
                <w:b/>
                <w:lang w:val="uk-UA"/>
              </w:rPr>
              <w:t>ОСІБ, ФІЗИЧНИХ ОСІБ – ПІДПРИЄМЦІВ ТА ГРОМАДСЬКИХ ФОРМУВАНЬ У ПАПЕРОВІЙ ФОРМІ ДЛЯ ПРОСТАВЛЕННЯ АПОСТИЛЯ</w:t>
            </w:r>
          </w:p>
          <w:p w:rsidR="00166F4F" w:rsidRDefault="00166F4F" w:rsidP="00ED79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lang w:val="uk-UA"/>
              </w:rPr>
            </w:pPr>
          </w:p>
          <w:tbl>
            <w:tblPr>
              <w:tblW w:w="9382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87"/>
              <w:gridCol w:w="3737"/>
              <w:gridCol w:w="1798"/>
              <w:gridCol w:w="567"/>
              <w:gridCol w:w="43"/>
              <w:gridCol w:w="98"/>
              <w:gridCol w:w="2552"/>
            </w:tblGrid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Default="00166F4F" w:rsidP="00A542B2">
                  <w:pPr>
                    <w:ind w:right="122"/>
                    <w:jc w:val="both"/>
                    <w:rPr>
                      <w:b/>
                      <w:noProof/>
                      <w:lang w:val="uk-UA" w:eastAsia="uk-UA"/>
                    </w:rPr>
                  </w:pPr>
                </w:p>
                <w:p w:rsidR="00166F4F" w:rsidRPr="00A542B2" w:rsidRDefault="00166F4F" w:rsidP="00A542B2">
                  <w:pPr>
                    <w:ind w:right="12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Default="00166F4F" w:rsidP="00482915">
                  <w:pPr>
                    <w:ind w:left="-1209" w:right="122" w:firstLine="14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A542B2">
                    <w:rPr>
                      <w:b/>
                      <w:noProof/>
                      <w:lang w:val="uk-UA" w:eastAsia="uk-UA"/>
                    </w:rPr>
                    <w:t xml:space="preserve">Етапи </w:t>
                  </w:r>
                  <w:r>
                    <w:rPr>
                      <w:b/>
                      <w:noProof/>
                      <w:lang w:val="uk-UA" w:eastAsia="uk-UA"/>
                    </w:rPr>
                    <w:t xml:space="preserve">      </w:t>
                  </w:r>
                </w:p>
                <w:p w:rsidR="00166F4F" w:rsidRPr="00A542B2" w:rsidRDefault="00166F4F" w:rsidP="00482915">
                  <w:pPr>
                    <w:ind w:left="-1209" w:right="122" w:firstLine="14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                    Етапи послуги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A542B2" w:rsidRDefault="00166F4F" w:rsidP="00832C58">
                  <w:pPr>
                    <w:ind w:right="12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Default="00166F4F" w:rsidP="00A542B2">
                  <w:pPr>
                    <w:ind w:left="-885" w:right="12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</w:t>
                  </w:r>
                </w:p>
                <w:p w:rsidR="00166F4F" w:rsidRPr="00832C58" w:rsidRDefault="00166F4F" w:rsidP="00A542B2">
                  <w:pPr>
                    <w:rPr>
                      <w:b/>
                      <w:lang w:val="uk-UA" w:eastAsia="uk-UA"/>
                    </w:rPr>
                  </w:pPr>
                  <w:r w:rsidRPr="00832C58">
                    <w:rPr>
                      <w:b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2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Default="00166F4F" w:rsidP="00A542B2">
                  <w:pPr>
                    <w:ind w:left="-885" w:right="12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A542B2">
                    <w:rPr>
                      <w:b/>
                      <w:noProof/>
                      <w:lang w:val="uk-UA" w:eastAsia="uk-UA"/>
                    </w:rPr>
                    <w:t xml:space="preserve">Строки </w:t>
                  </w:r>
                  <w:r>
                    <w:rPr>
                      <w:b/>
                      <w:noProof/>
                      <w:lang w:val="uk-UA" w:eastAsia="uk-UA"/>
                    </w:rPr>
                    <w:t xml:space="preserve"> </w:t>
                  </w:r>
                </w:p>
                <w:p w:rsidR="00166F4F" w:rsidRDefault="00166F4F" w:rsidP="00A542B2">
                  <w:pPr>
                    <w:ind w:left="-885" w:right="12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              Термін </w:t>
                  </w:r>
                  <w:r w:rsidRPr="00A542B2">
                    <w:rPr>
                      <w:b/>
                      <w:noProof/>
                      <w:lang w:val="uk-UA" w:eastAsia="uk-UA"/>
                    </w:rPr>
                    <w:t>виконання</w:t>
                  </w:r>
                  <w:r>
                    <w:rPr>
                      <w:b/>
                      <w:noProof/>
                      <w:lang w:val="uk-UA" w:eastAsia="uk-UA"/>
                    </w:rPr>
                    <w:t xml:space="preserve"> </w:t>
                  </w:r>
                </w:p>
                <w:p w:rsidR="00166F4F" w:rsidRPr="00A542B2" w:rsidRDefault="00166F4F" w:rsidP="00A542B2">
                  <w:pPr>
                    <w:ind w:left="-885" w:right="122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(днів)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ind w:left="-3" w:right="-303"/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Адміністратор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В день надходження 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заяви.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В день надходження 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заяви.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В день надходження 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заяви.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</w:t>
                  </w:r>
                  <w:r>
                    <w:rPr>
                      <w:bCs/>
                      <w:iCs/>
                      <w:noProof/>
                      <w:lang w:val="uk-UA" w:eastAsia="uk-UA"/>
                    </w:rPr>
                    <w:t>тор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зупинення розгляду документів із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A30F47">
                    <w:rPr>
                      <w:rStyle w:val="apple-converted-space"/>
                      <w:noProof/>
                      <w:lang w:val="uk-UA"/>
                    </w:rPr>
                    <w:t xml:space="preserve"> </w:t>
                  </w:r>
                  <w:hyperlink r:id="rId7" w:tgtFrame="_blank" w:history="1">
                    <w:r w:rsidRPr="004C1D20">
                      <w:rPr>
                        <w:rStyle w:val="a7"/>
                        <w:noProof/>
                        <w:bdr w:val="none" w:sz="0" w:space="0" w:color="auto" w:frame="1"/>
                        <w:lang w:val="uk-UA"/>
                      </w:rPr>
                      <w:t>Закону України</w:t>
                    </w:r>
                  </w:hyperlink>
                  <w:r w:rsidRPr="00A30F47">
                    <w:rPr>
                      <w:rStyle w:val="apple-converted-space"/>
                      <w:noProof/>
                      <w:lang w:val="uk-UA"/>
                    </w:rPr>
                    <w:t xml:space="preserve">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610" w:type="dxa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166F4F" w:rsidRPr="004C1D20" w:rsidTr="00166F4F">
              <w:trPr>
                <w:trHeight w:val="1941"/>
              </w:trPr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610" w:type="dxa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на підставі відомостей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заяви </w:t>
                  </w:r>
                  <w:r w:rsidRPr="004C1D20">
                    <w:rPr>
                      <w:noProof/>
                      <w:lang w:val="uk-UA" w:eastAsia="uk-UA"/>
                    </w:rPr>
                    <w:t xml:space="preserve">– у разі відсутності підстав </w:t>
                  </w:r>
                  <w:r w:rsidRPr="004C1D20">
                    <w:rPr>
                      <w:noProof/>
                      <w:lang w:val="uk-UA" w:eastAsia="uk-UA"/>
                    </w:rPr>
                    <w:lastRenderedPageBreak/>
                    <w:t>для відмови у проведенні державної реєстрації та зупинення розгляду документів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610" w:type="dxa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9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A30F47">
                    <w:rPr>
                      <w:rStyle w:val="apple-converted-space"/>
                      <w:noProof/>
                      <w:lang w:val="uk-UA"/>
                    </w:rPr>
                    <w:t xml:space="preserve"> </w:t>
                  </w:r>
                  <w:hyperlink r:id="rId8" w:anchor="n24" w:tgtFrame="_blank" w:history="1">
                    <w:r w:rsidRPr="004C1D20">
                      <w:rPr>
                        <w:rStyle w:val="a7"/>
                        <w:noProof/>
                        <w:bdr w:val="none" w:sz="0" w:space="0" w:color="auto" w:frame="1"/>
                        <w:lang w:val="uk-UA"/>
                      </w:rPr>
                      <w:t>порядку</w:t>
                    </w:r>
                  </w:hyperlink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610" w:type="dxa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державної реєстрації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10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610" w:type="dxa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4C1D20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610" w:type="dxa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</w:t>
                  </w:r>
                  <w:r w:rsidRPr="004C1D20">
                    <w:rPr>
                      <w:noProof/>
                      <w:lang w:val="uk-UA" w:eastAsia="uk-UA"/>
                    </w:rPr>
                    <w:lastRenderedPageBreak/>
                    <w:t xml:space="preserve">державному реєстрі юридичних осіб, фізичних осіб – підприємців та громадських формувань ,відповідно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4C1D20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13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66F4F" w:rsidRPr="00CB31A7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15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Перевірка документів, які подані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формувань, на відсутність підстав для відмови у проведенні державної реєстрації включення відомостей про юридичну особу, зареєстровану до 01 липня 2004 року, відомості про яку не містяться в Єдиному державному </w:t>
                  </w:r>
                  <w:r w:rsidRPr="004C1D20">
                    <w:rPr>
                      <w:noProof/>
                      <w:lang w:val="uk-UA" w:eastAsia="uk-UA"/>
                    </w:rPr>
                    <w:lastRenderedPageBreak/>
                    <w:t>реєстрі юридичних осіб, фізичних осіб – підприємців та громадських формувань та відсутності підстав для зупинення розгляду документів.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4C1D20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днів, після надходження документів, поданих для державної реєстрації.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en-US"/>
                    </w:rPr>
                  </w:pPr>
                  <w:r w:rsidRPr="004C1D20">
                    <w:rPr>
                      <w:noProof/>
                      <w:lang w:val="uk-UA"/>
                    </w:rPr>
                    <w:lastRenderedPageBreak/>
                    <w:t>16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4C1D20">
                    <w:rPr>
                      <w:noProof/>
                      <w:lang w:val="uk-UA" w:eastAsia="uk-UA"/>
                    </w:rPr>
                    <w:t>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      </w:r>
                  <w:r w:rsidRPr="004C1D20">
                    <w:rPr>
                      <w:noProof/>
                      <w:lang w:val="uk-UA"/>
                    </w:rPr>
                    <w:t xml:space="preserve">,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166F4F" w:rsidRPr="00CB31A7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18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19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4C1D20">
                    <w:rPr>
                      <w:rStyle w:val="apple-converted-space"/>
                      <w:noProof/>
                    </w:rPr>
                    <w:t xml:space="preserve"> </w:t>
                  </w:r>
                  <w:hyperlink r:id="rId9" w:tgtFrame="_blank" w:history="1">
                    <w:r w:rsidRPr="004C1D20">
                      <w:rPr>
                        <w:rStyle w:val="a7"/>
                        <w:noProof/>
                        <w:bdr w:val="none" w:sz="0" w:space="0" w:color="auto" w:frame="1"/>
                        <w:lang w:val="uk-UA"/>
                      </w:rPr>
                      <w:t>Законом України</w:t>
                    </w:r>
                  </w:hyperlink>
                  <w:r w:rsidRPr="004C1D20">
                    <w:rPr>
                      <w:rStyle w:val="apple-converted-space"/>
                      <w:noProof/>
                    </w:rPr>
                    <w:t xml:space="preserve"> </w:t>
                  </w:r>
                  <w:r w:rsidRPr="004C1D20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166F4F" w:rsidRPr="004C1D20" w:rsidTr="00166F4F"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166F4F" w:rsidRPr="004C1D20" w:rsidTr="00166F4F">
              <w:trPr>
                <w:trHeight w:val="3186"/>
              </w:trPr>
              <w:tc>
                <w:tcPr>
                  <w:tcW w:w="5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ED79CD" w:rsidRDefault="00166F4F" w:rsidP="00482915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21</w:t>
                  </w:r>
                </w:p>
              </w:tc>
              <w:tc>
                <w:tcPr>
                  <w:tcW w:w="37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4C1D20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66F4F" w:rsidRPr="004C1D20" w:rsidRDefault="00166F4F" w:rsidP="00832C58">
                  <w:pPr>
                    <w:ind w:right="-202"/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17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166F4F" w:rsidRPr="004C1D20" w:rsidRDefault="00166F4F" w:rsidP="00ED79C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66F4F" w:rsidRPr="004C1D20" w:rsidRDefault="00166F4F" w:rsidP="00482915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6F4F" w:rsidRPr="004C1D20" w:rsidRDefault="00166F4F" w:rsidP="00ED79CD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p w:rsidR="00166F4F" w:rsidRPr="004C1D20" w:rsidRDefault="00166F4F" w:rsidP="00A542B2">
            <w:pPr>
              <w:tabs>
                <w:tab w:val="left" w:pos="405"/>
              </w:tabs>
              <w:ind w:right="-134"/>
              <w:rPr>
                <w:noProof/>
                <w:lang w:val="uk-UA" w:eastAsia="uk-UA"/>
              </w:rPr>
            </w:pPr>
            <w:bookmarkStart w:id="1" w:name="n29"/>
            <w:bookmarkEnd w:id="1"/>
            <w:r>
              <w:rPr>
                <w:noProof/>
                <w:lang w:val="uk-UA" w:eastAsia="uk-UA"/>
              </w:rPr>
              <w:tab/>
            </w:r>
          </w:p>
          <w:tbl>
            <w:tblPr>
              <w:tblStyle w:val="a8"/>
              <w:tblW w:w="9668" w:type="dxa"/>
              <w:tblLayout w:type="fixed"/>
              <w:tblLook w:val="04A0"/>
            </w:tblPr>
            <w:tblGrid>
              <w:gridCol w:w="9668"/>
            </w:tblGrid>
            <w:tr w:rsidR="00166F4F" w:rsidTr="00166F4F">
              <w:tc>
                <w:tcPr>
                  <w:tcW w:w="9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6F4F" w:rsidRDefault="00166F4F" w:rsidP="00332749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Загальна кількість днів надання послуги -  1день</w:t>
                  </w:r>
                </w:p>
              </w:tc>
            </w:tr>
            <w:tr w:rsidR="00166F4F" w:rsidTr="00166F4F">
              <w:tc>
                <w:tcPr>
                  <w:tcW w:w="9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6F4F" w:rsidRDefault="00166F4F" w:rsidP="00332749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166F4F" w:rsidRPr="004C1D20" w:rsidRDefault="00166F4F" w:rsidP="00A542B2">
            <w:pPr>
              <w:tabs>
                <w:tab w:val="left" w:pos="405"/>
              </w:tabs>
              <w:rPr>
                <w:noProof/>
                <w:lang w:val="uk-UA" w:eastAsia="uk-UA"/>
              </w:rPr>
            </w:pPr>
          </w:p>
          <w:p w:rsidR="00166F4F" w:rsidRPr="004C1D20" w:rsidRDefault="00166F4F" w:rsidP="00ED79CD">
            <w:pPr>
              <w:jc w:val="center"/>
              <w:rPr>
                <w:noProof/>
                <w:lang w:val="uk-UA" w:eastAsia="uk-UA"/>
              </w:rPr>
            </w:pPr>
          </w:p>
          <w:tbl>
            <w:tblPr>
              <w:tblpPr w:leftFromText="180" w:rightFromText="180" w:vertAnchor="page" w:horzAnchor="margin" w:tblpXSpec="center" w:tblpY="1087"/>
              <w:tblW w:w="9918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610"/>
              <w:gridCol w:w="1930"/>
              <w:gridCol w:w="10"/>
              <w:gridCol w:w="2039"/>
              <w:gridCol w:w="535"/>
              <w:gridCol w:w="1794"/>
            </w:tblGrid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b/>
                      <w:sz w:val="24"/>
                      <w:szCs w:val="24"/>
                    </w:rPr>
                    <w:lastRenderedPageBreak/>
                    <w:t>Ета</w:t>
                  </w:r>
                  <w:r>
                    <w:rPr>
                      <w:rStyle w:val="Bodytext211pt"/>
                      <w:b/>
                      <w:sz w:val="24"/>
                      <w:szCs w:val="24"/>
                    </w:rPr>
                    <w:t>п</w:t>
                  </w:r>
                  <w:r w:rsidRPr="00EA4606">
                    <w:rPr>
                      <w:rStyle w:val="Bodytext211pt"/>
                      <w:b/>
                      <w:sz w:val="24"/>
                      <w:szCs w:val="24"/>
                    </w:rPr>
                    <w:t>и опрацювання заяви про надання адміністративної послуги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b/>
                      <w:sz w:val="24"/>
                      <w:szCs w:val="24"/>
                    </w:rPr>
                    <w:t>Відповідальна особа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b/>
                      <w:sz w:val="24"/>
                      <w:szCs w:val="24"/>
                    </w:rPr>
                    <w:t>Структурний підрозділ, відповідальний за етап (дію, рішення)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left="160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b/>
                      <w:sz w:val="24"/>
                      <w:szCs w:val="24"/>
                    </w:rPr>
                    <w:t>Дія (В, З і П)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b/>
                      <w:sz w:val="24"/>
                      <w:szCs w:val="24"/>
                    </w:rPr>
                    <w:t>Строки виконання етапів (дію, рішення)</w:t>
                  </w:r>
                </w:p>
              </w:tc>
            </w:tr>
            <w:tr w:rsidR="00166F4F" w:rsidRPr="00EA4606" w:rsidTr="00E20DA9">
              <w:trPr>
                <w:trHeight w:val="573"/>
              </w:trPr>
              <w:tc>
                <w:tcPr>
                  <w:tcW w:w="99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У разі отримання документів у паперовій формі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right="20"/>
                    <w:jc w:val="both"/>
                    <w:rPr>
                      <w:rStyle w:val="Bodytext211pt"/>
                      <w:sz w:val="24"/>
                      <w:szCs w:val="24"/>
                      <w:lang w:val="ru-RU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1.</w:t>
                  </w:r>
                  <w:r w:rsidRPr="00EA4606">
                    <w:rPr>
                      <w:rStyle w:val="Bodytext211pt"/>
                      <w:sz w:val="24"/>
                      <w:szCs w:val="24"/>
                      <w:lang w:val="ru-RU"/>
                    </w:rPr>
                    <w:t xml:space="preserve"> </w:t>
                  </w:r>
                  <w:r w:rsidRPr="00EA4606">
                    <w:rPr>
                      <w:rStyle w:val="Bodytext211pt"/>
                      <w:sz w:val="24"/>
                      <w:szCs w:val="24"/>
                    </w:rPr>
                    <w:t>Встановлення</w:t>
                  </w:r>
                  <w:r w:rsidRPr="00EA4606">
                    <w:rPr>
                      <w:rStyle w:val="Bodytext211pt"/>
                      <w:sz w:val="24"/>
                      <w:szCs w:val="24"/>
                      <w:lang w:val="ru-RU"/>
                    </w:rPr>
                    <w:t xml:space="preserve"> особи </w:t>
                  </w:r>
                  <w:r w:rsidRPr="00EA4606">
                    <w:rPr>
                      <w:rStyle w:val="Bodytext211pt"/>
                      <w:sz w:val="24"/>
                      <w:szCs w:val="24"/>
                    </w:rPr>
                    <w:t>заявника</w:t>
                  </w:r>
                  <w:r w:rsidRPr="00EA4606">
                    <w:rPr>
                      <w:rStyle w:val="Bodytext211pt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A4606">
                    <w:rPr>
                      <w:rStyle w:val="Bodytext211pt"/>
                      <w:sz w:val="24"/>
                      <w:szCs w:val="24"/>
                    </w:rPr>
                    <w:t>перевірка обсягу повноважень (у разі подання запиту уповноваженої на те особою)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right="2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rFonts w:eastAsia="Constantia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rFonts w:eastAsia="Constantia"/>
                      <w:sz w:val="24"/>
                      <w:szCs w:val="24"/>
                    </w:rPr>
                    <w:t>Уповноважена особа центру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  <w:r w:rsidRPr="00EA4606">
                    <w:rPr>
                      <w:rStyle w:val="Bodytext211pt"/>
                      <w:rFonts w:eastAsia="Constantia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Центр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left="160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 день звернення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 xml:space="preserve">2. </w:t>
                  </w:r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допомогою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програмних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засобів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ведення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EA4606">
                    <w:rPr>
                      <w:rStyle w:val="Bodytext211pt"/>
                      <w:rFonts w:eastAsia="Arial Unicode MS"/>
                      <w:sz w:val="24"/>
                      <w:szCs w:val="24"/>
                    </w:rPr>
                    <w:t xml:space="preserve">Єдиного державного реєстру юридичних осіб, фізичних осіб – </w:t>
                  </w:r>
                  <w:proofErr w:type="gramStart"/>
                  <w:r w:rsidRPr="00EA4606">
                    <w:rPr>
                      <w:rStyle w:val="Bodytext211pt"/>
                      <w:rFonts w:eastAsia="Arial Unicode MS"/>
                      <w:sz w:val="24"/>
                      <w:szCs w:val="24"/>
                    </w:rPr>
                    <w:t>п</w:t>
                  </w:r>
                  <w:proofErr w:type="gramEnd"/>
                  <w:r w:rsidRPr="00EA4606">
                    <w:rPr>
                      <w:rStyle w:val="Bodytext211pt"/>
                      <w:rFonts w:eastAsia="Arial Unicode MS"/>
                      <w:sz w:val="24"/>
                      <w:szCs w:val="24"/>
                    </w:rPr>
                    <w:t xml:space="preserve">ідприємців та громадських формувань (далі – Єдиний державний реєстр)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формування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друк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запиту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на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якому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заявник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проставляє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власний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підпис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*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rFonts w:eastAsia="Constantia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rFonts w:eastAsia="Constantia"/>
                      <w:sz w:val="24"/>
                      <w:szCs w:val="24"/>
                    </w:rPr>
                    <w:t>Уповноважена особа центру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Центр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left="160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 день звернення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right="20"/>
                    <w:jc w:val="both"/>
                    <w:rPr>
                      <w:b w:val="0"/>
                      <w:color w:val="000000"/>
                      <w:sz w:val="24"/>
                      <w:szCs w:val="24"/>
                      <w:lang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3.</w:t>
                  </w:r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Реєстрація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запиту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Єдиному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державному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</w:t>
                  </w:r>
                  <w:proofErr w:type="gram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стр</w:t>
                  </w:r>
                  <w:proofErr w:type="gram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присвоєнням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йому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за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допомогою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програмних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засобів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реєстраційного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номера,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що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є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відповідним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кодом доступу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фіксацією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дати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й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часу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його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реєстрації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*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rFonts w:eastAsia="Constantia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rFonts w:eastAsia="Constantia"/>
                      <w:sz w:val="24"/>
                      <w:szCs w:val="24"/>
                    </w:rPr>
                    <w:t>Уповноважена особа центру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Центр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left="200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 день звернення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right="20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 xml:space="preserve">4. </w:t>
                  </w:r>
                  <w:r w:rsidRPr="00EA4606">
                    <w:rPr>
                      <w:rStyle w:val="Bodytext211pt"/>
                      <w:rFonts w:eastAsia="Arial Unicode MS"/>
                      <w:sz w:val="24"/>
                      <w:szCs w:val="24"/>
                    </w:rPr>
                    <w:t>Інформування суб’єкта надання адміністративної послуги про реєстрацію запиту</w:t>
                  </w:r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Єдиному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державному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реєстрі</w:t>
                  </w:r>
                  <w:proofErr w:type="spellEnd"/>
                  <w:r w:rsidRPr="00EA4606">
                    <w:rPr>
                      <w:rStyle w:val="Bodytext211pt"/>
                      <w:rFonts w:eastAsia="Arial Unicode MS"/>
                      <w:sz w:val="24"/>
                      <w:szCs w:val="24"/>
                    </w:rPr>
                    <w:t xml:space="preserve"> шляхом надсилання повідомлення на уніфіковану електронну скриньку**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rFonts w:eastAsia="Constantia"/>
                      <w:i w:val="0"/>
                      <w:sz w:val="24"/>
                      <w:szCs w:val="24"/>
                    </w:rPr>
                    <w:t>Уповноважена особа центру надання адміністративних послуг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Центр надання адміністративних послуг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left="200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 день звернення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right="20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 xml:space="preserve">5. Передача оригіналу запиту щодо надання виписки, оригіналу </w:t>
                  </w:r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документу про оплату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послуги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проставлення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апостилю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копію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документа,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що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підтверджує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право на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звільнення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такої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сплати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оригіналу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документу про оплату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послуги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надання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відомостей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Єдиного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державного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EA4606">
                    <w:rPr>
                      <w:rStyle w:val="Bodytext211pt"/>
                      <w:rFonts w:eastAsia="Constantia"/>
                      <w:i w:val="0"/>
                      <w:sz w:val="24"/>
                      <w:szCs w:val="24"/>
                    </w:rPr>
                    <w:t xml:space="preserve">суб’єкту надання адміністративної послуги 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rFonts w:eastAsia="Constantia"/>
                      <w:i w:val="0"/>
                      <w:sz w:val="24"/>
                      <w:szCs w:val="24"/>
                    </w:rPr>
                    <w:t>Уповноважена особа центру надання адміністративних послуг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Центр надання адміністративних послуг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ind w:left="200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 xml:space="preserve">Невідкладно, після реєстрації документів 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 xml:space="preserve">6. </w:t>
                  </w:r>
                  <w:proofErr w:type="spellStart"/>
                  <w:proofErr w:type="gramStart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>Розгляд</w:t>
                  </w:r>
                  <w:proofErr w:type="spellEnd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>документів</w:t>
                  </w:r>
                  <w:proofErr w:type="spellEnd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 xml:space="preserve"> про </w:t>
                  </w:r>
                  <w:proofErr w:type="spellStart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>надання</w:t>
                  </w:r>
                  <w:proofErr w:type="spellEnd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>виписки</w:t>
                  </w:r>
                  <w:proofErr w:type="spellEnd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 xml:space="preserve">  </w:t>
                  </w:r>
                  <w:proofErr w:type="spellStart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>з</w:t>
                  </w:r>
                  <w:proofErr w:type="spellEnd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>Єдиного</w:t>
                  </w:r>
                  <w:proofErr w:type="spellEnd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 xml:space="preserve"> державного </w:t>
                  </w:r>
                  <w:proofErr w:type="spellStart"/>
                  <w:r w:rsidRPr="00EA4606"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  <w:t>реєстру</w:t>
                  </w:r>
                  <w:proofErr w:type="spellEnd"/>
                  <w:proofErr w:type="gramEnd"/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Fonts w:eastAsia="Constantia"/>
                      <w:b w:val="0"/>
                      <w:iCs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bCs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b w:val="0"/>
                      <w:bCs w:val="0"/>
                      <w:sz w:val="24"/>
                      <w:szCs w:val="24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Протягом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24 годин </w:t>
                  </w:r>
                  <w:proofErr w:type="spellStart"/>
                  <w:proofErr w:type="gram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</w:t>
                  </w:r>
                  <w:proofErr w:type="gram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ісля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надходження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документів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крім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вихідних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святкових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днів</w:t>
                  </w:r>
                  <w:proofErr w:type="spellEnd"/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Style w:val="Bodytext211pt"/>
                      <w:color w:val="auto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6.1. У разі відсутності підстав для відмови перейти до пункту 7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Fonts w:eastAsia="Constantia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bCs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b w:val="0"/>
                      <w:bCs w:val="0"/>
                      <w:sz w:val="24"/>
                      <w:szCs w:val="24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Протягом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24 годин </w:t>
                  </w:r>
                  <w:proofErr w:type="spellStart"/>
                  <w:proofErr w:type="gram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</w:t>
                  </w:r>
                  <w:proofErr w:type="gram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ісля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надходження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документів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крім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вихідних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святкових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днів</w:t>
                  </w:r>
                  <w:proofErr w:type="spellEnd"/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Style w:val="Bodytext211pt"/>
                      <w:color w:val="auto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  <w:lang w:val="ru-RU"/>
                    </w:rPr>
                    <w:t>6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.2. Підготовка та формування повідомлення про відмову за допомогою програмних засобів ведення Єдиного державного реєстру у разі прийняття рішення про відмову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  <w:lang w:val="ru-RU"/>
                    </w:rPr>
                    <w:t>*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Fonts w:eastAsia="Constantia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bCs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b w:val="0"/>
                      <w:bCs w:val="0"/>
                      <w:sz w:val="24"/>
                      <w:szCs w:val="24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Протягом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24 годин </w:t>
                  </w:r>
                  <w:proofErr w:type="spellStart"/>
                  <w:proofErr w:type="gram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</w:t>
                  </w:r>
                  <w:proofErr w:type="gram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ісля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надходження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документів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крім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вихідних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святкових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днів</w:t>
                  </w:r>
                  <w:proofErr w:type="spellEnd"/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  <w:lang w:val="ru-RU"/>
                    </w:rPr>
                    <w:t>6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 xml:space="preserve">.2.1. Інформування центру надання адміністративних послуг про прийняте за результатом розгляду поданих  документів </w:t>
                  </w:r>
                  <w:proofErr w:type="gramStart"/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р</w:t>
                  </w:r>
                  <w:proofErr w:type="gramEnd"/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 xml:space="preserve">ішення про відмову  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  <w:lang w:val="ru-RU"/>
                    </w:rPr>
                    <w:t xml:space="preserve">шляхом 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надсилання повідомлення на електронну скриньку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Fonts w:eastAsia="Constantia"/>
                      <w:b w:val="0"/>
                      <w:iCs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bCs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b w:val="0"/>
                      <w:bCs w:val="0"/>
                      <w:sz w:val="24"/>
                      <w:szCs w:val="24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Протягом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24 годин </w:t>
                  </w:r>
                  <w:proofErr w:type="spellStart"/>
                  <w:proofErr w:type="gram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</w:t>
                  </w:r>
                  <w:proofErr w:type="gram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ісля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надходження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документів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крім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вихідних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святкових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днів</w:t>
                  </w:r>
                  <w:proofErr w:type="spellEnd"/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proofErr w:type="gramStart"/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  <w:lang w:val="ru-RU"/>
                    </w:rPr>
                    <w:t>6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 xml:space="preserve">.2.2. Інформування заявника про відмову у видачі виписки з Єдиного державного реєстру </w:t>
                  </w:r>
                  <w:proofErr w:type="gramEnd"/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rFonts w:eastAsia="Constantia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rFonts w:eastAsia="Constantia"/>
                      <w:sz w:val="24"/>
                      <w:szCs w:val="24"/>
                    </w:rPr>
                    <w:t>Уповноважена особа центру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bCs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Центр надання адміністративних послуг або</w:t>
                  </w:r>
                </w:p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b w:val="0"/>
                      <w:bCs w:val="0"/>
                      <w:sz w:val="24"/>
                      <w:szCs w:val="24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Протягом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24 годин </w:t>
                  </w:r>
                  <w:proofErr w:type="spellStart"/>
                  <w:proofErr w:type="gram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п</w:t>
                  </w:r>
                  <w:proofErr w:type="gram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ісля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надходження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документів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крім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вихідних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та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святкових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lang w:eastAsia="uk-UA"/>
                    </w:rPr>
                    <w:t>днів</w:t>
                  </w:r>
                  <w:proofErr w:type="spellEnd"/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7</w:t>
                  </w:r>
                  <w:r w:rsidRPr="00EA4606">
                    <w:rPr>
                      <w:rStyle w:val="Bodytext211pt"/>
                      <w:b/>
                      <w:color w:val="auto"/>
                      <w:sz w:val="24"/>
                      <w:szCs w:val="24"/>
                    </w:rPr>
                    <w:t xml:space="preserve">. </w:t>
                  </w:r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За результатом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розгляду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запиту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формування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виписки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Єдиного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державного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реєстру</w:t>
                  </w:r>
                  <w:proofErr w:type="spellEnd"/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b w:val="0"/>
                      <w:bCs w:val="0"/>
                      <w:sz w:val="24"/>
                      <w:szCs w:val="24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Протягом 24 годин після звернення заявника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 xml:space="preserve">8. Передача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виписки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Єдиного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державного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копію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запиту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щодо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надання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такої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виписки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та документ про оплату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послуги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проставлення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апостилю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копію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документа,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що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підтверджує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право на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звільнення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такої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сплати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уповноваженій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посадовій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особі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відділу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державної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реєстрації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актів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цивільного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стану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територіальних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органів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Міністерства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юстиції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проставлення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на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такій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виписці</w:t>
                  </w:r>
                  <w:proofErr w:type="spellEnd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A4606">
                    <w:rPr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апостилю</w:t>
                  </w:r>
                  <w:proofErr w:type="spellEnd"/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b w:val="0"/>
                      <w:bCs w:val="0"/>
                      <w:sz w:val="24"/>
                      <w:szCs w:val="24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b w:val="0"/>
                      <w:sz w:val="24"/>
                      <w:szCs w:val="24"/>
                      <w:shd w:val="clear" w:color="auto" w:fill="FFFFFF"/>
                      <w:lang w:eastAsia="uk-UA" w:bidi="uk-UA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Невідкладно після формування виписки</w:t>
                  </w:r>
                </w:p>
              </w:tc>
            </w:tr>
            <w:tr w:rsidR="00166F4F" w:rsidRPr="00EA4606" w:rsidTr="00E20DA9"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Style w:val="Bodytext211pt"/>
                      <w:color w:val="auto"/>
                      <w:sz w:val="24"/>
                      <w:szCs w:val="24"/>
                      <w:lang w:val="ru-RU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9. Інформування</w:t>
                  </w: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EA4606">
                    <w:rPr>
                      <w:rStyle w:val="Bodytext211pt"/>
                      <w:rFonts w:eastAsia="Constantia"/>
                      <w:sz w:val="24"/>
                      <w:szCs w:val="24"/>
                    </w:rPr>
                    <w:t xml:space="preserve"> центру надання адміністративних послуг про прийняте рішення </w:t>
                  </w:r>
                  <w:r w:rsidRPr="00EA4606">
                    <w:rPr>
                      <w:rStyle w:val="Bodytext211pt"/>
                      <w:rFonts w:eastAsia="Arial Unicode MS"/>
                      <w:sz w:val="24"/>
                      <w:szCs w:val="24"/>
                    </w:rPr>
                    <w:t>шляхом надсилання повідомлення на  електронну скриньку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rFonts w:eastAsia="Constantia"/>
                      <w:i w:val="0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Державний реєстратор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hd w:val="clear" w:color="auto" w:fill="auto"/>
                    <w:spacing w:after="0" w:line="240" w:lineRule="auto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 xml:space="preserve">Державний реєстратор 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ind w:left="200"/>
                    <w:jc w:val="both"/>
                    <w:rPr>
                      <w:rStyle w:val="Bodytext211pt"/>
                      <w:color w:val="auto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color w:val="auto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66F4F" w:rsidRPr="00EA4606" w:rsidRDefault="00166F4F" w:rsidP="00EA4606">
                  <w:pPr>
                    <w:pStyle w:val="Bodytext20"/>
                    <w:spacing w:line="240" w:lineRule="auto"/>
                    <w:jc w:val="both"/>
                    <w:rPr>
                      <w:rStyle w:val="Bodytext211pt"/>
                      <w:sz w:val="24"/>
                      <w:szCs w:val="24"/>
                    </w:rPr>
                  </w:pPr>
                  <w:r w:rsidRPr="00EA4606">
                    <w:rPr>
                      <w:rStyle w:val="Bodytext211pt"/>
                      <w:sz w:val="24"/>
                      <w:szCs w:val="24"/>
                    </w:rPr>
                    <w:t>Невідкладно після формування виписки</w:t>
                  </w:r>
                </w:p>
              </w:tc>
            </w:tr>
          </w:tbl>
          <w:p w:rsidR="00166F4F" w:rsidRPr="00EA4606" w:rsidRDefault="00166F4F" w:rsidP="00EA4606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EA4606">
              <w:rPr>
                <w:rStyle w:val="Tablecaption13pt"/>
                <w:rFonts w:eastAsia="Arial Unicode MS"/>
                <w:b w:val="0"/>
                <w:sz w:val="24"/>
                <w:szCs w:val="24"/>
              </w:rPr>
              <w:t>Умовні позначки: В – виконує.</w:t>
            </w:r>
            <w:r w:rsidRPr="00EA4606">
              <w:rPr>
                <w:b w:val="0"/>
                <w:sz w:val="24"/>
                <w:szCs w:val="24"/>
                <w:lang w:val="uk-UA" w:eastAsia="uk-UA" w:bidi="uk-UA"/>
              </w:rPr>
              <w:t xml:space="preserve"> </w:t>
            </w:r>
          </w:p>
          <w:p w:rsidR="00166F4F" w:rsidRPr="00EA4606" w:rsidRDefault="00166F4F" w:rsidP="00EA4606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  <w:lang w:eastAsia="uk-UA" w:bidi="uk-UA"/>
              </w:rPr>
            </w:pPr>
          </w:p>
          <w:p w:rsidR="00166F4F" w:rsidRPr="00523E20" w:rsidRDefault="00166F4F" w:rsidP="00EA4606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Результат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надання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адміністративної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послуги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може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бути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оскаржений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до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Міністерства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юстиції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України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та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його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територіальних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органів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або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до суду у порядку,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визначеному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ст. 34 Закону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України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«Про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державну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реєстрацію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юридичних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осіб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,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фізичних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                    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осіб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- </w:t>
            </w:r>
            <w:proofErr w:type="spellStart"/>
            <w:proofErr w:type="gramStart"/>
            <w:r w:rsidRPr="00523E20">
              <w:rPr>
                <w:i/>
                <w:sz w:val="24"/>
                <w:szCs w:val="24"/>
                <w:lang w:eastAsia="uk-UA" w:bidi="uk-UA"/>
              </w:rPr>
              <w:t>п</w:t>
            </w:r>
            <w:proofErr w:type="gramEnd"/>
            <w:r w:rsidRPr="00523E20">
              <w:rPr>
                <w:i/>
                <w:sz w:val="24"/>
                <w:szCs w:val="24"/>
                <w:lang w:eastAsia="uk-UA" w:bidi="uk-UA"/>
              </w:rPr>
              <w:t>ідприємців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та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громадських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523E20">
              <w:rPr>
                <w:i/>
                <w:sz w:val="24"/>
                <w:szCs w:val="24"/>
                <w:lang w:eastAsia="uk-UA" w:bidi="uk-UA"/>
              </w:rPr>
              <w:t>формувань</w:t>
            </w:r>
            <w:proofErr w:type="spellEnd"/>
            <w:r w:rsidRPr="00523E20">
              <w:rPr>
                <w:i/>
                <w:sz w:val="24"/>
                <w:szCs w:val="24"/>
                <w:lang w:eastAsia="uk-UA" w:bidi="uk-UA"/>
              </w:rPr>
              <w:t>».</w:t>
            </w:r>
          </w:p>
          <w:p w:rsidR="00166F4F" w:rsidRPr="00EA4606" w:rsidRDefault="00166F4F" w:rsidP="00EA4606">
            <w:pPr>
              <w:jc w:val="both"/>
              <w:rPr>
                <w:lang w:val="uk-UA"/>
              </w:rPr>
            </w:pPr>
          </w:p>
          <w:p w:rsidR="00166F4F" w:rsidRPr="00EA4606" w:rsidRDefault="00166F4F" w:rsidP="00E20DA9">
            <w:pPr>
              <w:widowControl w:val="0"/>
              <w:autoSpaceDE w:val="0"/>
              <w:autoSpaceDN w:val="0"/>
              <w:adjustRightInd w:val="0"/>
              <w:ind w:left="-533" w:right="-1" w:firstLine="533"/>
              <w:jc w:val="both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166F4F" w:rsidRPr="00EA4606" w:rsidRDefault="00166F4F" w:rsidP="00EA460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spacing w:val="2"/>
                <w:lang w:val="uk-UA"/>
              </w:rPr>
            </w:pPr>
          </w:p>
        </w:tc>
      </w:tr>
    </w:tbl>
    <w:p w:rsidR="0051122B" w:rsidRPr="00EA4606" w:rsidRDefault="0051122B" w:rsidP="00EA4606">
      <w:pPr>
        <w:jc w:val="both"/>
        <w:rPr>
          <w:lang w:val="uk-UA"/>
        </w:rPr>
      </w:pPr>
    </w:p>
    <w:sectPr w:rsidR="0051122B" w:rsidRPr="00EA4606" w:rsidSect="00E20DA9">
      <w:headerReference w:type="default" r:id="rId10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4E4" w:rsidRDefault="009974E4" w:rsidP="00EA4606">
      <w:r>
        <w:separator/>
      </w:r>
    </w:p>
  </w:endnote>
  <w:endnote w:type="continuationSeparator" w:id="0">
    <w:p w:rsidR="009974E4" w:rsidRDefault="009974E4" w:rsidP="00EA4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4E4" w:rsidRDefault="009974E4" w:rsidP="00EA4606">
      <w:r>
        <w:separator/>
      </w:r>
    </w:p>
  </w:footnote>
  <w:footnote w:type="continuationSeparator" w:id="0">
    <w:p w:rsidR="009974E4" w:rsidRDefault="009974E4" w:rsidP="00EA4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E20" w:rsidRPr="00523E20" w:rsidRDefault="00523E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6BE"/>
    <w:rsid w:val="00166F4F"/>
    <w:rsid w:val="00187941"/>
    <w:rsid w:val="002476BE"/>
    <w:rsid w:val="00482915"/>
    <w:rsid w:val="0051122B"/>
    <w:rsid w:val="00523E20"/>
    <w:rsid w:val="00614185"/>
    <w:rsid w:val="00832C58"/>
    <w:rsid w:val="008F25C3"/>
    <w:rsid w:val="009974E4"/>
    <w:rsid w:val="00A30F47"/>
    <w:rsid w:val="00A542B2"/>
    <w:rsid w:val="00C302F9"/>
    <w:rsid w:val="00CB31A7"/>
    <w:rsid w:val="00E20DA9"/>
    <w:rsid w:val="00EA4606"/>
    <w:rsid w:val="00ED79CD"/>
    <w:rsid w:val="00FB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EA46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A4606"/>
    <w:pPr>
      <w:widowControl w:val="0"/>
      <w:shd w:val="clear" w:color="auto" w:fill="FFFFFF"/>
      <w:suppressAutoHyphens w:val="0"/>
      <w:spacing w:after="480"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Bodytext211pt">
    <w:name w:val="Body text (2) + 11 pt"/>
    <w:aliases w:val="Not Bold"/>
    <w:basedOn w:val="Bodytext2"/>
    <w:rsid w:val="00EA460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Tablecaption95pt">
    <w:name w:val="Table caption + 9.5 pt"/>
    <w:basedOn w:val="a0"/>
    <w:rsid w:val="00EA46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Tablecaption13pt">
    <w:name w:val="Table caption + 13 pt"/>
    <w:basedOn w:val="a0"/>
    <w:rsid w:val="00EA46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paragraph" w:styleId="a3">
    <w:name w:val="header"/>
    <w:basedOn w:val="a"/>
    <w:link w:val="a4"/>
    <w:uiPriority w:val="99"/>
    <w:unhideWhenUsed/>
    <w:rsid w:val="00EA4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60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unhideWhenUsed/>
    <w:rsid w:val="00EA46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460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a7">
    <w:name w:val="Hyperlink"/>
    <w:basedOn w:val="a0"/>
    <w:uiPriority w:val="99"/>
    <w:semiHidden/>
    <w:unhideWhenUsed/>
    <w:rsid w:val="00A30F47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A30F47"/>
  </w:style>
  <w:style w:type="table" w:styleId="a8">
    <w:name w:val="Table Grid"/>
    <w:basedOn w:val="a1"/>
    <w:uiPriority w:val="39"/>
    <w:rsid w:val="00A54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956-16/paran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755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3425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A621-CE54-4124-92EA-1A811D9D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2170</Words>
  <Characters>12372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9</cp:revision>
  <cp:lastPrinted>2022-05-16T09:04:00Z</cp:lastPrinted>
  <dcterms:created xsi:type="dcterms:W3CDTF">2022-02-06T12:21:00Z</dcterms:created>
  <dcterms:modified xsi:type="dcterms:W3CDTF">2025-01-23T09:40:00Z</dcterms:modified>
</cp:coreProperties>
</file>