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C5" w:rsidRPr="00A04D99" w:rsidRDefault="00E234C5" w:rsidP="00E234C5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Pr="00A04D99">
        <w:rPr>
          <w:noProof/>
          <w:lang w:val="uk-UA"/>
        </w:rPr>
        <w:t>ЗАТВЕРДЖЕНО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Рішення виконавчого комітету 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Мар’янівської селищної ради </w:t>
      </w:r>
    </w:p>
    <w:p w:rsidR="00E234C5" w:rsidRDefault="00E234C5" w:rsidP="00E234C5">
      <w:pPr>
        <w:ind w:left="5245"/>
        <w:rPr>
          <w:noProof/>
          <w:lang w:val="uk-UA"/>
        </w:rPr>
      </w:pPr>
      <w:r>
        <w:rPr>
          <w:noProof/>
          <w:lang w:val="uk-UA"/>
        </w:rPr>
        <w:t>від 30 січня 2025 року</w:t>
      </w:r>
      <w:r w:rsidRPr="00A04D99">
        <w:rPr>
          <w:noProof/>
          <w:lang w:val="uk-UA"/>
        </w:rPr>
        <w:t xml:space="preserve"> № </w:t>
      </w:r>
      <w:r>
        <w:rPr>
          <w:noProof/>
          <w:lang w:val="uk-UA"/>
        </w:rPr>
        <w:t>1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511"/>
        <w:gridCol w:w="3066"/>
        <w:gridCol w:w="6027"/>
        <w:gridCol w:w="235"/>
      </w:tblGrid>
      <w:tr w:rsidR="00E234C5" w:rsidTr="000E72AD">
        <w:tc>
          <w:tcPr>
            <w:tcW w:w="9604" w:type="dxa"/>
            <w:gridSpan w:val="3"/>
            <w:hideMark/>
          </w:tcPr>
          <w:p w:rsidR="00E234C5" w:rsidRPr="0032253C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>
              <w:rPr>
                <w:b/>
                <w:noProof/>
              </w:rPr>
              <w:t>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6</w:t>
            </w:r>
            <w:r>
              <w:rPr>
                <w:b/>
                <w:noProof/>
              </w:rPr>
              <w:t>5</w:t>
            </w:r>
            <w:r>
              <w:rPr>
                <w:b/>
                <w:noProof/>
                <w:lang w:val="uk-UA"/>
              </w:rPr>
              <w:t xml:space="preserve"> (01851)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377F94">
              <w:rPr>
                <w:b/>
                <w:noProof/>
              </w:rPr>
              <w:t>ВИДАЧА АКТА ОБСТЕЖЕННЯ НА ФАКТ ПРОЖИВАННЯ ОСОБИ БЕЗ РЕЄСТРАЦІЇ МІСЦЯ ПРОЖИВАННЯ ЗА ДАНОЮ АДРЕСОЮ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</w:rPr>
              <w:t>(НА ОСНОВІ ПИСЬМОВИХ СВІ</w:t>
            </w:r>
            <w:r>
              <w:rPr>
                <w:b/>
                <w:noProof/>
                <w:lang w:val="uk-UA"/>
              </w:rPr>
              <w:t>ДЧЕ</w:t>
            </w:r>
            <w:r w:rsidRPr="00377F94">
              <w:rPr>
                <w:b/>
                <w:noProof/>
              </w:rPr>
              <w:t>НЬ СУСІДІВ)</w:t>
            </w:r>
          </w:p>
          <w:p w:rsidR="00E234C5" w:rsidRPr="00A04D99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5" w:type="dxa"/>
          </w:tcPr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Pr="008E3F85" w:rsidRDefault="00E234C5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8E3F85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селище Мар’янівка, вул.  Незалежності, 26.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  <w:bookmarkStart w:id="1" w:name="_GoBack"/>
            <w:bookmarkEnd w:id="1"/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20.00;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п’ятниця: 8.15 – 16.00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Субота, неділя – 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E234C5" w:rsidRPr="00006421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006421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Pr="0078556B" w:rsidRDefault="00130AF5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130AF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hyperlink r:id="rId5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с. Бужани, вул. Центральна, 47а.</w:t>
            </w:r>
          </w:p>
        </w:tc>
      </w:tr>
      <w:tr w:rsidR="00E234C5" w:rsidRPr="00006421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E234C5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E234C5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Default="00130AF5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130AF5" w:rsidP="000E72AD">
            <w:pPr>
              <w:spacing w:line="256" w:lineRule="auto"/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0E72AD">
            <w:pPr>
              <w:shd w:val="clear" w:color="auto" w:fill="FFFFFF" w:themeFill="background1"/>
              <w:suppressAutoHyphens w:val="0"/>
              <w:spacing w:after="150"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32253C">
              <w:rPr>
                <w:noProof/>
                <w:color w:val="000000" w:themeColor="text1"/>
                <w:lang w:val="uk-UA"/>
              </w:rPr>
              <w:t>Про місцеве самоврядування</w:t>
            </w:r>
            <w:r>
              <w:rPr>
                <w:noProof/>
                <w:color w:val="000000" w:themeColor="text1"/>
                <w:lang w:val="uk-UA"/>
              </w:rPr>
              <w:t xml:space="preserve"> в Україні».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-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E234C5" w:rsidTr="000E72AD">
        <w:trPr>
          <w:gridAfter w:val="1"/>
          <w:wAfter w:w="235" w:type="dxa"/>
          <w:trHeight w:val="214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hd w:val="clear" w:color="auto" w:fill="FFFFFF" w:themeFill="background1"/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A04D99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highlight w:val="white"/>
                <w:lang w:val="uk-UA"/>
              </w:rPr>
            </w:pP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Підстави для 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отрима</w:t>
            </w: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ння адміністративної послуги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Pr="00E234C5" w:rsidRDefault="00E234C5" w:rsidP="00E234C5">
            <w:pPr>
              <w:shd w:val="clear" w:color="auto" w:fill="FFFFFF"/>
              <w:suppressAutoHyphens w:val="0"/>
              <w:rPr>
                <w:noProof/>
                <w:color w:val="212529"/>
                <w:lang w:val="uk-UA" w:eastAsia="uk-UA"/>
              </w:rPr>
            </w:pPr>
            <w:bookmarkStart w:id="2" w:name="n77"/>
            <w:bookmarkStart w:id="3" w:name="n33"/>
            <w:bookmarkStart w:id="4" w:name="n59"/>
            <w:bookmarkStart w:id="5" w:name="n39"/>
            <w:bookmarkStart w:id="6" w:name="n27"/>
            <w:bookmarkEnd w:id="2"/>
            <w:bookmarkEnd w:id="3"/>
            <w:bookmarkEnd w:id="4"/>
            <w:bookmarkEnd w:id="5"/>
            <w:bookmarkEnd w:id="6"/>
            <w:r w:rsidRPr="00E234C5">
              <w:rPr>
                <w:noProof/>
                <w:color w:val="212529"/>
                <w:lang w:val="uk-UA" w:eastAsia="uk-UA"/>
              </w:rPr>
              <w:t>Акти щодо підтвердження факту проживання без реєстрації/факту непроживання при реєстрації за даною адресою складаються та видаються:</w:t>
            </w:r>
          </w:p>
          <w:p w:rsidR="00E234C5" w:rsidRPr="00E234C5" w:rsidRDefault="00E234C5" w:rsidP="00E234C5">
            <w:pPr>
              <w:shd w:val="clear" w:color="auto" w:fill="FFFFFF"/>
              <w:suppressAutoHyphens w:val="0"/>
              <w:rPr>
                <w:noProof/>
                <w:color w:val="212529"/>
                <w:lang w:val="uk-UA" w:eastAsia="uk-UA"/>
              </w:rPr>
            </w:pPr>
            <w:r w:rsidRPr="00E234C5">
              <w:rPr>
                <w:noProof/>
                <w:color w:val="212529"/>
                <w:lang w:val="uk-UA" w:eastAsia="uk-UA"/>
              </w:rPr>
              <w:t>– мешканцям сектору приватної забудови – головами органів самоорганізації населення чи інспектором/посадовою особою організаційного відділу районної у місті ради;</w:t>
            </w:r>
          </w:p>
        </w:tc>
      </w:tr>
      <w:tr w:rsidR="00E234C5" w:rsidTr="00E234C5">
        <w:trPr>
          <w:gridAfter w:val="1"/>
          <w:wAfter w:w="235" w:type="dxa"/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послуги,  що передбачені законом, та вимоги до них.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079" w:rsidRPr="00181079" w:rsidRDefault="00E234C5" w:rsidP="0018107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 xml:space="preserve">1. </w:t>
            </w:r>
            <w:r w:rsidR="00181079" w:rsidRPr="00181079">
              <w:rPr>
                <w:color w:val="212529"/>
                <w:lang w:val="uk-UA" w:eastAsia="uk-UA"/>
              </w:rPr>
              <w:t>Заява</w:t>
            </w:r>
            <w:r w:rsidR="00181079">
              <w:rPr>
                <w:color w:val="212529"/>
                <w:lang w:val="uk-UA" w:eastAsia="uk-UA"/>
              </w:rPr>
              <w:t>.</w:t>
            </w:r>
          </w:p>
          <w:p w:rsidR="00181079" w:rsidRPr="00181079" w:rsidRDefault="00181079" w:rsidP="0018107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181079" w:rsidRPr="00181079" w:rsidRDefault="00181079" w:rsidP="0018107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181079">
              <w:rPr>
                <w:color w:val="212529"/>
                <w:lang w:val="uk-UA" w:eastAsia="uk-UA"/>
              </w:rPr>
              <w:t>Документи, що посвідчують особу представника (у разі подання заяви уповноваженим представником)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181079" w:rsidRPr="00181079" w:rsidRDefault="00181079" w:rsidP="0018107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4. Будинкова</w:t>
            </w:r>
            <w:r w:rsidRPr="00181079">
              <w:rPr>
                <w:color w:val="212529"/>
                <w:lang w:val="uk-UA" w:eastAsia="uk-UA"/>
              </w:rPr>
              <w:t xml:space="preserve"> книга за наявності (копія)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E234C5" w:rsidRPr="00181079" w:rsidRDefault="00181079" w:rsidP="0018107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181079">
              <w:rPr>
                <w:color w:val="212529"/>
                <w:lang w:val="uk-UA" w:eastAsia="uk-UA"/>
              </w:rPr>
              <w:t>Правовстановлюючі документи на житловий будинок.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181079">
            <w:pPr>
              <w:pStyle w:val="a5"/>
              <w:jc w:val="both"/>
              <w:rPr>
                <w:noProof/>
                <w:lang w:val="uk-UA"/>
              </w:rPr>
            </w:pPr>
            <w:bookmarkStart w:id="7" w:name="n472"/>
            <w:bookmarkStart w:id="8" w:name="n466"/>
            <w:bookmarkEnd w:id="7"/>
            <w:bookmarkEnd w:id="8"/>
            <w:r w:rsidRPr="00181079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5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181079">
            <w:pPr>
              <w:pStyle w:val="a5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lang w:val="uk-UA"/>
              </w:rPr>
              <w:t xml:space="preserve"> </w:t>
            </w:r>
            <w:r w:rsidR="00181079">
              <w:rPr>
                <w:noProof/>
                <w:lang w:val="uk-UA"/>
              </w:rPr>
              <w:t>3 робочих дні.</w:t>
            </w:r>
          </w:p>
        </w:tc>
      </w:tr>
      <w:tr w:rsidR="00E234C5" w:rsidTr="00181079">
        <w:trPr>
          <w:gridAfter w:val="1"/>
          <w:wAfter w:w="235" w:type="dxa"/>
          <w:trHeight w:val="8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1079" w:rsidRPr="00181079" w:rsidRDefault="00E234C5" w:rsidP="0018107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>1</w:t>
            </w:r>
            <w:r w:rsidRPr="00181079">
              <w:rPr>
                <w:noProof/>
                <w:highlight w:val="white"/>
                <w:lang w:val="uk-UA"/>
              </w:rPr>
              <w:t>.</w:t>
            </w:r>
            <w:r w:rsidR="00181079" w:rsidRPr="00181079">
              <w:rPr>
                <w:color w:val="212529"/>
              </w:rPr>
              <w:t xml:space="preserve"> </w:t>
            </w:r>
            <w:r w:rsidR="00181079" w:rsidRPr="00181079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  <w:r w:rsidR="00181079">
              <w:rPr>
                <w:color w:val="212529"/>
                <w:lang w:val="uk-UA" w:eastAsia="uk-UA"/>
              </w:rPr>
              <w:t>.</w:t>
            </w:r>
          </w:p>
          <w:p w:rsidR="00E234C5" w:rsidRPr="00181079" w:rsidRDefault="00181079" w:rsidP="0018107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Неповний пакет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181079">
            <w:pPr>
              <w:pStyle w:val="a5"/>
              <w:jc w:val="both"/>
              <w:rPr>
                <w:noProof/>
                <w:lang w:val="uk-UA"/>
              </w:rPr>
            </w:pPr>
            <w:r w:rsidRPr="00181079">
              <w:rPr>
                <w:noProof/>
                <w:color w:val="212529"/>
                <w:shd w:val="clear" w:color="auto" w:fill="FFFFFF"/>
                <w:lang w:val="uk-UA"/>
              </w:rPr>
              <w:t>Акт обстеження на факт проживання особи без реєстрації місця проживання за даною адресою.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181079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Можливі способи </w:t>
            </w:r>
            <w:r w:rsidR="00E234C5">
              <w:rPr>
                <w:noProof/>
                <w:lang w:val="uk-UA"/>
              </w:rPr>
              <w:t>отримання відповіді (результату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181079">
            <w:pPr>
              <w:pStyle w:val="a5"/>
              <w:jc w:val="both"/>
              <w:rPr>
                <w:rFonts w:eastAsiaTheme="minorHAnsi"/>
                <w:noProof/>
                <w:lang w:val="uk-UA" w:eastAsia="en-US"/>
              </w:rPr>
            </w:pPr>
            <w:r w:rsidRPr="00181079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rPr>
          <w:lang w:val="uk-UA"/>
        </w:rPr>
      </w:pPr>
    </w:p>
    <w:p w:rsidR="00E234C5" w:rsidRDefault="00E234C5" w:rsidP="00E234C5"/>
    <w:p w:rsidR="0023402C" w:rsidRDefault="0023402C"/>
    <w:sectPr w:rsidR="0023402C" w:rsidSect="0000642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F0F"/>
    <w:rsid w:val="00006421"/>
    <w:rsid w:val="00130AF5"/>
    <w:rsid w:val="00181079"/>
    <w:rsid w:val="0023402C"/>
    <w:rsid w:val="00777F0F"/>
    <w:rsid w:val="00965CF0"/>
    <w:rsid w:val="00E2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34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34C5"/>
  </w:style>
  <w:style w:type="character" w:customStyle="1" w:styleId="rvts9">
    <w:name w:val="rvts9"/>
    <w:basedOn w:val="a0"/>
    <w:rsid w:val="00E234C5"/>
  </w:style>
  <w:style w:type="paragraph" w:styleId="a5">
    <w:name w:val="No Spacing"/>
    <w:uiPriority w:val="1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6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2025-01-28T08:00:00Z</cp:lastPrinted>
  <dcterms:created xsi:type="dcterms:W3CDTF">2025-01-21T14:48:00Z</dcterms:created>
  <dcterms:modified xsi:type="dcterms:W3CDTF">2025-01-28T08:00:00Z</dcterms:modified>
</cp:coreProperties>
</file>