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15" w:rsidRPr="00CA41A1" w:rsidRDefault="002A6315" w:rsidP="002A6315">
      <w:pPr>
        <w:ind w:left="2160" w:firstLine="720"/>
        <w:jc w:val="center"/>
        <w:rPr>
          <w:noProof/>
          <w:lang w:val="uk-UA"/>
        </w:rPr>
      </w:pPr>
      <w:r w:rsidRPr="00CA41A1">
        <w:rPr>
          <w:noProof/>
          <w:lang w:val="uk-UA"/>
        </w:rPr>
        <w:t>ЗАТВЕРДЖЕНО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Рішення виконавчого комітету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Мар’янівської селищної ради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</w:t>
      </w:r>
      <w:r w:rsidRPr="00CA41A1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</w:p>
    <w:tbl>
      <w:tblPr>
        <w:tblW w:w="10123" w:type="dxa"/>
        <w:tblInd w:w="108" w:type="dxa"/>
        <w:tblLook w:val="04A0"/>
      </w:tblPr>
      <w:tblGrid>
        <w:gridCol w:w="611"/>
        <w:gridCol w:w="3959"/>
        <w:gridCol w:w="5069"/>
        <w:gridCol w:w="248"/>
        <w:gridCol w:w="236"/>
      </w:tblGrid>
      <w:tr w:rsidR="002A6315" w:rsidTr="004F58E1">
        <w:tc>
          <w:tcPr>
            <w:tcW w:w="9887" w:type="dxa"/>
            <w:gridSpan w:val="4"/>
            <w:hideMark/>
          </w:tcPr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>
              <w:rPr>
                <w:b/>
                <w:noProof/>
              </w:rPr>
              <w:t>07</w:t>
            </w:r>
            <w:r>
              <w:rPr>
                <w:iCs/>
                <w:lang w:val="uk-UA"/>
              </w:rPr>
              <w:t xml:space="preserve"> – </w:t>
            </w:r>
            <w:r>
              <w:rPr>
                <w:b/>
                <w:noProof/>
                <w:lang w:val="uk-UA"/>
              </w:rPr>
              <w:t>58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ІНШІ ЗВЕРНЕННЯ ГРОМАДЯН ДОВІЛЬНОЇ ФОРМИ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2A6315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5B658B" w:rsidRDefault="002A6315" w:rsidP="004F58E1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noProof/>
                <w:lang w:val="uk-UA"/>
              </w:rPr>
              <w:t xml:space="preserve">                             </w:t>
            </w:r>
            <w:r w:rsidRPr="005B658B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A6315" w:rsidRPr="0031068A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 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31068A">
              <w:rPr>
                <w:bCs/>
                <w:iCs/>
                <w:noProof/>
                <w:lang w:val="uk-UA"/>
              </w:rPr>
              <w:t>Незалежності, 26.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середа: 8.15 – 20. 00;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2A6315" w:rsidRPr="006762E9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4F58E1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</w:t>
            </w:r>
            <w:r w:rsidRPr="0031068A">
              <w:rPr>
                <w:bCs/>
                <w:iCs/>
                <w:noProof/>
                <w:lang w:val="uk-UA"/>
              </w:rPr>
              <w:t xml:space="preserve">адреса: </w:t>
            </w:r>
          </w:p>
          <w:p w:rsidR="002A6315" w:rsidRPr="0062498E" w:rsidRDefault="009647BA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2A6315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9647BA" w:rsidP="004F58E1">
            <w:pPr>
              <w:rPr>
                <w:iCs/>
                <w:noProof/>
                <w:lang w:val="uk-UA"/>
              </w:rPr>
            </w:pPr>
            <w:hyperlink r:id="rId5" w:tgtFrame="_blank" w:history="1">
              <w:r w:rsidR="002A6315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31068A">
              <w:rPr>
                <w:noProof/>
                <w:lang w:val="uk-UA"/>
              </w:rPr>
              <w:t xml:space="preserve"> 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47а.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</w:p>
        </w:tc>
      </w:tr>
      <w:tr w:rsidR="002A6315" w:rsidRPr="006762E9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2A6315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CA41A1">
              <w:rPr>
                <w:bCs/>
                <w:iCs/>
                <w:noProof/>
              </w:rPr>
              <w:t xml:space="preserve">лектронна адреса: </w:t>
            </w:r>
          </w:p>
          <w:p w:rsidR="002A6315" w:rsidRPr="0062498E" w:rsidRDefault="009647BA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2A6315" w:rsidRPr="00CA41A1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9647BA" w:rsidP="004F58E1">
            <w:pPr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2A6315" w:rsidRPr="00CA41A1">
                <w:rPr>
                  <w:rStyle w:val="a3"/>
                  <w:color w:val="auto"/>
                  <w:u w:val="none"/>
                </w:rPr>
                <w:t>https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2A6315" w:rsidRPr="00CA41A1">
                <w:rPr>
                  <w:rStyle w:val="a3"/>
                  <w:color w:val="auto"/>
                  <w:u w:val="none"/>
                </w:rPr>
                <w:t>maryanivska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dosvit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org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ua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31068A" w:rsidRDefault="002A6315" w:rsidP="004F58E1">
            <w:pPr>
              <w:jc w:val="center"/>
              <w:rPr>
                <w:noProof/>
                <w:lang w:val="uk-UA"/>
              </w:rPr>
            </w:pPr>
            <w:r w:rsidRPr="0031068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Закони України</w:t>
            </w:r>
          </w:p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91B2E" w:rsidRDefault="002A6315" w:rsidP="004F58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Закон України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«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»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D06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Закон України «Про звернення громадян</w:t>
            </w:r>
            <w:r w:rsidRPr="003D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jc w:val="both"/>
              <w:rPr>
                <w:noProof/>
                <w:color w:val="252121"/>
                <w:lang w:val="uk-UA"/>
              </w:rPr>
            </w:pPr>
            <w:r w:rsidRPr="00750EB0">
              <w:rPr>
                <w:noProof/>
                <w:color w:val="252121"/>
                <w:lang w:val="uk-UA"/>
              </w:rPr>
              <w:t>-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750EB0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750EB0">
              <w:rPr>
                <w:noProof/>
                <w:lang w:val="uk-UA" w:eastAsia="en-US"/>
              </w:rPr>
              <w:t>-</w:t>
            </w:r>
          </w:p>
        </w:tc>
      </w:tr>
      <w:tr w:rsidR="002A6315" w:rsidRPr="00750EB0" w:rsidTr="004F58E1">
        <w:trPr>
          <w:gridAfter w:val="2"/>
          <w:wAfter w:w="484" w:type="dxa"/>
          <w:trHeight w:val="21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750EB0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2A6315" w:rsidRPr="00F6737D" w:rsidTr="002A6315">
        <w:trPr>
          <w:gridAfter w:val="2"/>
          <w:wAfter w:w="484" w:type="dxa"/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F6737D">
              <w:rPr>
                <w:noProof/>
                <w:highlight w:val="white"/>
                <w:shd w:val="clear" w:color="auto" w:fill="FFFFFF" w:themeFill="background1"/>
                <w:lang w:val="uk-UA"/>
              </w:rPr>
              <w:t>Підстави для одержання адміністративної послуги (фактичні підстави та умови</w:t>
            </w:r>
            <w:r w:rsidRPr="00F6737D">
              <w:rPr>
                <w:noProof/>
                <w:highlight w:val="white"/>
                <w:shd w:val="clear" w:color="auto" w:fill="F9F9F0"/>
                <w:lang w:val="uk-UA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вимоги.</w:t>
            </w:r>
          </w:p>
        </w:tc>
      </w:tr>
      <w:tr w:rsidR="002A6315" w:rsidRPr="00F6737D" w:rsidTr="002A6315">
        <w:trPr>
          <w:gridAfter w:val="2"/>
          <w:wAfter w:w="484" w:type="dxa"/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F6737D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</w:rPr>
              <w:t>1.</w:t>
            </w: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 xml:space="preserve"> Звернення адресуються органам державної влади і органам місцевого самоврядування, посадовим особам, до повноважень яких належить вирішення порушених у зверненнях питань;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spacing w:before="105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3.Звернення може бути усним (викладеним громадянином і записаним посадовою особою на особистому прийомі) чи письмовим, надісланим поштою або переданим до відповідного органу, установи особисто чи через уповноважену особу, якщо ці повноваження оформлені відповідно до Чинного Законодавства;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4. У зверненні має бути зазначено  поштову адресу, на яку заявнику може бути надіслано відповідь, або відомості про інші засоби зв’язку з ним. Застосування електронного цифрового підпису при надсиланні звернення не вимагається;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5. Звернення може бути подано окремою особою (індивідуальне) або групою осіб (колективне);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6. Письмове звернення повинно бути підписано заявником (заявниками) із зазначенням дати.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lang w:val="uk-UA" w:eastAsia="uk-UA"/>
              </w:rPr>
            </w:pPr>
            <w:bookmarkStart w:id="6" w:name="n466"/>
            <w:bookmarkStart w:id="7" w:name="n472"/>
            <w:bookmarkEnd w:id="6"/>
            <w:bookmarkEnd w:id="7"/>
            <w:r w:rsidRPr="00F6737D">
              <w:rPr>
                <w:noProof/>
                <w:highlight w:val="white"/>
                <w:lang w:val="uk-UA"/>
              </w:rPr>
              <w:t>В письмовій або усній формі пропозиції (зауваження), заяви (клопотання) і скарги. Вони можуть бути як усними, так і письмовими.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 xml:space="preserve"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керівник відповідного органу, підприємства, установи, організації встановлюють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 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lastRenderedPageBreak/>
              <w:t>Якщо питання, порушені в одержаному органом державної влади, місцевого самоврядування, незалежно від форм власності, об'єднаннями громадян або посадовими особами зверненні, не входять до їх повноважень, воно в термін не більше п'яти днів.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>Звернення громадян, які мають встановлені законодавством пільги, розглядаються у першочерговому порядку.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1.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 w:eastAsia="ru-RU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Не розглядаються повторні звернення одним і тим же органом від одного і того ж громадянина з одного і того ж питання, якщо перше вирішено по суті.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 xml:space="preserve"> Результат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Розгляд та вирішення питання.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4B422A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bookmarkStart w:id="8" w:name="_GoBack"/>
            <w:bookmarkEnd w:id="8"/>
            <w:r w:rsidR="002A6315" w:rsidRPr="00F6737D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Письмово.</w:t>
            </w:r>
          </w:p>
        </w:tc>
      </w:tr>
    </w:tbl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rPr>
          <w:lang w:val="uk-UA"/>
        </w:rPr>
      </w:pPr>
    </w:p>
    <w:p w:rsidR="00162A3F" w:rsidRDefault="00162A3F"/>
    <w:sectPr w:rsidR="00162A3F" w:rsidSect="006762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0C6"/>
    <w:rsid w:val="00162A3F"/>
    <w:rsid w:val="002A6315"/>
    <w:rsid w:val="004B422A"/>
    <w:rsid w:val="006762E9"/>
    <w:rsid w:val="009647BA"/>
    <w:rsid w:val="00CE61DD"/>
    <w:rsid w:val="00DB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315"/>
    <w:rPr>
      <w:color w:val="0000FF"/>
      <w:u w:val="single"/>
    </w:rPr>
  </w:style>
  <w:style w:type="paragraph" w:styleId="a4">
    <w:name w:val="Normal (Web)"/>
    <w:basedOn w:val="a"/>
    <w:unhideWhenUsed/>
    <w:rsid w:val="002A6315"/>
  </w:style>
  <w:style w:type="character" w:customStyle="1" w:styleId="rvts9">
    <w:name w:val="rvts9"/>
    <w:basedOn w:val="a0"/>
    <w:rsid w:val="002A6315"/>
  </w:style>
  <w:style w:type="paragraph" w:customStyle="1" w:styleId="TableParagraph">
    <w:name w:val="Table Paragraph"/>
    <w:basedOn w:val="a"/>
    <w:uiPriority w:val="99"/>
    <w:rsid w:val="002A6315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2025-01-28T07:54:00Z</cp:lastPrinted>
  <dcterms:created xsi:type="dcterms:W3CDTF">2025-01-21T11:43:00Z</dcterms:created>
  <dcterms:modified xsi:type="dcterms:W3CDTF">2025-01-28T07:54:00Z</dcterms:modified>
</cp:coreProperties>
</file>