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AF" w:rsidRPr="005D721F" w:rsidRDefault="00CF0BAF" w:rsidP="00CF0BAF">
      <w:pPr>
        <w:ind w:left="5245"/>
        <w:rPr>
          <w:lang w:val="uk-UA"/>
        </w:rPr>
      </w:pPr>
      <w:r w:rsidRPr="005D721F">
        <w:rPr>
          <w:lang w:val="uk-UA"/>
        </w:rPr>
        <w:t>ЗАТВЕРДЖЕНО</w:t>
      </w:r>
    </w:p>
    <w:p w:rsidR="00CF0BAF" w:rsidRPr="005D721F" w:rsidRDefault="00CF0BAF" w:rsidP="00CF0BAF">
      <w:pPr>
        <w:ind w:left="5245"/>
        <w:rPr>
          <w:lang w:val="uk-UA"/>
        </w:rPr>
      </w:pPr>
      <w:r w:rsidRPr="005D721F">
        <w:rPr>
          <w:lang w:val="uk-UA"/>
        </w:rPr>
        <w:t xml:space="preserve">Рішення виконавчого комітету </w:t>
      </w:r>
    </w:p>
    <w:p w:rsidR="00CF0BAF" w:rsidRPr="005D721F" w:rsidRDefault="00CF0BAF" w:rsidP="00CF0BAF">
      <w:pPr>
        <w:ind w:left="5245"/>
        <w:rPr>
          <w:lang w:val="uk-UA"/>
        </w:rPr>
      </w:pPr>
      <w:proofErr w:type="spellStart"/>
      <w:r w:rsidRPr="005D721F">
        <w:rPr>
          <w:lang w:val="uk-UA"/>
        </w:rPr>
        <w:t>Мар’янівської</w:t>
      </w:r>
      <w:proofErr w:type="spellEnd"/>
      <w:r w:rsidRPr="005D721F">
        <w:rPr>
          <w:lang w:val="uk-UA"/>
        </w:rPr>
        <w:t xml:space="preserve"> селищної ради </w:t>
      </w:r>
      <w:bookmarkStart w:id="0" w:name="_GoBack"/>
      <w:bookmarkEnd w:id="0"/>
    </w:p>
    <w:p w:rsidR="00CF0BAF" w:rsidRPr="005D721F" w:rsidRDefault="000C1F9C" w:rsidP="000C1F9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від 30.01.2025 </w:t>
      </w:r>
      <w:r w:rsidR="003724B3">
        <w:rPr>
          <w:lang w:val="uk-UA"/>
        </w:rPr>
        <w:t xml:space="preserve"> </w:t>
      </w:r>
      <w:r w:rsidR="00CF0BAF" w:rsidRPr="005D721F">
        <w:rPr>
          <w:lang w:val="uk-UA"/>
        </w:rPr>
        <w:t xml:space="preserve">№ </w:t>
      </w:r>
      <w:r>
        <w:rPr>
          <w:lang w:val="uk-UA"/>
        </w:rPr>
        <w:t xml:space="preserve"> 1</w:t>
      </w:r>
    </w:p>
    <w:p w:rsidR="00CF0BAF" w:rsidRPr="004A555F" w:rsidRDefault="00CF0BAF" w:rsidP="00CF0BAF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42"/>
        <w:gridCol w:w="608"/>
        <w:gridCol w:w="3755"/>
        <w:gridCol w:w="2265"/>
        <w:gridCol w:w="15"/>
        <w:gridCol w:w="30"/>
        <w:gridCol w:w="90"/>
        <w:gridCol w:w="602"/>
        <w:gridCol w:w="2233"/>
        <w:gridCol w:w="75"/>
        <w:gridCol w:w="314"/>
        <w:gridCol w:w="236"/>
      </w:tblGrid>
      <w:tr w:rsidR="00CF0BAF" w:rsidRPr="00163262" w:rsidTr="001D08BC">
        <w:tc>
          <w:tcPr>
            <w:tcW w:w="10029" w:type="dxa"/>
            <w:gridSpan w:val="11"/>
            <w:hideMark/>
          </w:tcPr>
          <w:p w:rsidR="00CF0BAF" w:rsidRPr="00176159" w:rsidRDefault="001D08BC" w:rsidP="001D08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ТЕХНОЛОГІЧНА </w:t>
            </w:r>
            <w:r w:rsidR="00CF0BAF">
              <w:rPr>
                <w:b/>
                <w:lang w:val="uk-UA"/>
              </w:rPr>
              <w:t xml:space="preserve"> КАРТКА </w:t>
            </w:r>
            <w:r w:rsidR="00CF0BAF" w:rsidRPr="00FC411E">
              <w:rPr>
                <w:b/>
              </w:rPr>
              <w:t>1</w:t>
            </w:r>
            <w:r w:rsidR="000C1F9C">
              <w:rPr>
                <w:b/>
                <w:lang w:val="uk-UA"/>
              </w:rPr>
              <w:t>3</w:t>
            </w:r>
            <w:r w:rsidR="00CF0BAF" w:rsidRPr="00FC411E">
              <w:rPr>
                <w:b/>
              </w:rPr>
              <w:t xml:space="preserve"> – </w:t>
            </w:r>
            <w:r w:rsidR="00CF0BAF">
              <w:rPr>
                <w:b/>
                <w:lang w:val="uk-UA"/>
              </w:rPr>
              <w:t>15</w:t>
            </w:r>
            <w:r w:rsidR="00CF0BAF" w:rsidRPr="00FC411E">
              <w:rPr>
                <w:b/>
              </w:rPr>
              <w:t xml:space="preserve"> </w:t>
            </w:r>
            <w:r w:rsidR="00CF0BAF">
              <w:rPr>
                <w:b/>
                <w:lang w:val="uk-UA"/>
              </w:rPr>
              <w:t xml:space="preserve">( </w:t>
            </w:r>
            <w:r w:rsidR="00CF0BAF" w:rsidRPr="00FC411E">
              <w:rPr>
                <w:b/>
              </w:rPr>
              <w:t>0</w:t>
            </w:r>
            <w:r w:rsidR="00CF0BAF">
              <w:rPr>
                <w:b/>
                <w:lang w:val="uk-UA"/>
              </w:rPr>
              <w:t>0683</w:t>
            </w:r>
            <w:r w:rsidR="00CF0BAF" w:rsidRPr="00176159">
              <w:rPr>
                <w:b/>
                <w:lang w:val="uk-UA"/>
              </w:rPr>
              <w:t>)</w:t>
            </w:r>
          </w:p>
          <w:p w:rsidR="00CF0BAF" w:rsidRDefault="00CF0BAF" w:rsidP="001D08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5D721F" w:rsidRDefault="00CF0BAF" w:rsidP="001D08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ПІДТВЕРДЕННЯ ВІДОМОСТЕЙ ПРО КІНЦЕВОГО БЕНЕФІЦІАРНОГО </w:t>
            </w:r>
          </w:p>
          <w:p w:rsidR="00CF0BAF" w:rsidRDefault="00CF0BAF" w:rsidP="001D08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ВЛАСНИКА ЮРИДИЧНОЇ ОСОБИ</w:t>
            </w:r>
          </w:p>
          <w:p w:rsidR="005D721F" w:rsidRPr="005E0B0D" w:rsidRDefault="005D721F" w:rsidP="001D08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CF0BAF" w:rsidRPr="004A555F" w:rsidRDefault="00CF0BAF" w:rsidP="000C1F9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5D721F" w:rsidRDefault="005D721F" w:rsidP="003724B3">
            <w:pPr>
              <w:jc w:val="center"/>
              <w:rPr>
                <w:b/>
                <w:noProof/>
                <w:lang w:val="uk-UA" w:eastAsia="uk-UA"/>
              </w:rPr>
            </w:pPr>
            <w:r w:rsidRPr="005D721F">
              <w:rPr>
                <w:b/>
                <w:noProof/>
                <w:lang w:val="uk-UA" w:eastAsia="uk-UA"/>
              </w:rPr>
              <w:t>№ п/п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24B3" w:rsidRDefault="003724B3" w:rsidP="003724B3">
            <w:pPr>
              <w:jc w:val="center"/>
              <w:rPr>
                <w:b/>
                <w:noProof/>
                <w:lang w:val="uk-UA" w:eastAsia="uk-UA"/>
              </w:rPr>
            </w:pPr>
          </w:p>
          <w:p w:rsidR="005D721F" w:rsidRPr="005D721F" w:rsidRDefault="005D721F" w:rsidP="003724B3">
            <w:pPr>
              <w:jc w:val="center"/>
              <w:rPr>
                <w:b/>
                <w:noProof/>
                <w:lang w:val="uk-UA" w:eastAsia="uk-UA"/>
              </w:rPr>
            </w:pPr>
            <w:r w:rsidRPr="005D721F">
              <w:rPr>
                <w:b/>
                <w:noProof/>
                <w:lang w:val="uk-UA" w:eastAsia="uk-UA"/>
              </w:rPr>
              <w:t>Етапи послуги</w:t>
            </w:r>
          </w:p>
        </w:tc>
        <w:tc>
          <w:tcPr>
            <w:tcW w:w="24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Default="005D721F" w:rsidP="003724B3">
            <w:pPr>
              <w:jc w:val="center"/>
              <w:rPr>
                <w:b/>
                <w:noProof/>
                <w:lang w:val="uk-UA" w:eastAsia="uk-UA"/>
              </w:rPr>
            </w:pPr>
            <w:r w:rsidRPr="005D721F">
              <w:rPr>
                <w:b/>
                <w:noProof/>
                <w:lang w:val="uk-UA" w:eastAsia="uk-UA"/>
              </w:rPr>
              <w:t>Відповідальна</w:t>
            </w:r>
          </w:p>
          <w:p w:rsidR="005D721F" w:rsidRPr="005D721F" w:rsidRDefault="005D721F" w:rsidP="003724B3">
            <w:pPr>
              <w:jc w:val="center"/>
              <w:rPr>
                <w:b/>
                <w:noProof/>
                <w:lang w:val="uk-UA" w:eastAsia="uk-UA"/>
              </w:rPr>
            </w:pPr>
            <w:r w:rsidRPr="005D721F">
              <w:rPr>
                <w:b/>
                <w:noProof/>
                <w:lang w:val="uk-UA" w:eastAsia="uk-UA"/>
              </w:rPr>
              <w:t xml:space="preserve">посадова особа </w:t>
            </w:r>
            <w:r w:rsidR="003724B3">
              <w:rPr>
                <w:b/>
                <w:noProof/>
                <w:lang w:val="uk-UA" w:eastAsia="uk-UA"/>
              </w:rPr>
              <w:t>іструктурний підрозділ</w:t>
            </w:r>
          </w:p>
        </w:tc>
        <w:tc>
          <w:tcPr>
            <w:tcW w:w="60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5D721F" w:rsidRDefault="005D721F" w:rsidP="003724B3">
            <w:pPr>
              <w:jc w:val="center"/>
              <w:rPr>
                <w:b/>
                <w:noProof/>
                <w:lang w:val="uk-UA" w:eastAsia="uk-UA"/>
              </w:rPr>
            </w:pPr>
            <w:r>
              <w:rPr>
                <w:b/>
                <w:noProof/>
                <w:lang w:val="uk-UA" w:eastAsia="uk-UA"/>
              </w:rPr>
              <w:t>Дія*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5D721F" w:rsidRDefault="005D721F" w:rsidP="003724B3">
            <w:pPr>
              <w:jc w:val="center"/>
              <w:rPr>
                <w:b/>
                <w:noProof/>
                <w:lang w:val="uk-UA" w:eastAsia="uk-UA"/>
              </w:rPr>
            </w:pPr>
            <w:r>
              <w:rPr>
                <w:b/>
                <w:noProof/>
                <w:lang w:val="uk-UA" w:eastAsia="uk-UA"/>
              </w:rPr>
              <w:t xml:space="preserve">Термін </w:t>
            </w:r>
            <w:r w:rsidRPr="005D721F">
              <w:rPr>
                <w:b/>
                <w:noProof/>
                <w:lang w:val="uk-UA" w:eastAsia="uk-UA"/>
              </w:rPr>
              <w:t>виконання</w:t>
            </w:r>
            <w:r w:rsidR="003724B3">
              <w:rPr>
                <w:b/>
                <w:noProof/>
                <w:lang w:val="uk-UA" w:eastAsia="uk-UA"/>
              </w:rPr>
              <w:t xml:space="preserve"> (днів)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pStyle w:val="a4"/>
              <w:tabs>
                <w:tab w:val="left" w:pos="284"/>
              </w:tabs>
              <w:ind w:left="0"/>
              <w:jc w:val="center"/>
              <w:rPr>
                <w:noProof/>
                <w:sz w:val="24"/>
                <w:szCs w:val="24"/>
                <w:lang w:eastAsia="uk-UA"/>
              </w:rPr>
            </w:pPr>
            <w:bookmarkStart w:id="1" w:name="n28"/>
            <w:bookmarkEnd w:id="1"/>
            <w:r w:rsidRPr="001D08BC">
              <w:rPr>
                <w:noProof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pStyle w:val="a4"/>
              <w:tabs>
                <w:tab w:val="left" w:pos="284"/>
              </w:tabs>
              <w:ind w:left="0"/>
              <w:rPr>
                <w:noProof/>
                <w:sz w:val="24"/>
                <w:szCs w:val="24"/>
                <w:lang w:eastAsia="uk-UA"/>
              </w:rPr>
            </w:pPr>
            <w:r w:rsidRPr="001D08BC">
              <w:rPr>
                <w:noProof/>
                <w:sz w:val="24"/>
                <w:szCs w:val="24"/>
                <w:lang w:eastAsia="uk-UA"/>
              </w:rPr>
              <w:t>Прийом за описом документів, які подаються для підтвердження відомостей про кінцевого бенефіціарного власника юридичної особи</w:t>
            </w:r>
          </w:p>
        </w:tc>
        <w:tc>
          <w:tcPr>
            <w:tcW w:w="24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60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В день надходження заяви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pStyle w:val="a4"/>
              <w:tabs>
                <w:tab w:val="left" w:pos="250"/>
              </w:tabs>
              <w:ind w:left="0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1D08BC">
              <w:rPr>
                <w:noProof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pStyle w:val="a4"/>
              <w:tabs>
                <w:tab w:val="left" w:pos="250"/>
              </w:tabs>
              <w:ind w:left="0"/>
              <w:rPr>
                <w:noProof/>
                <w:sz w:val="24"/>
                <w:szCs w:val="24"/>
                <w:lang w:eastAsia="uk-UA"/>
              </w:rPr>
            </w:pPr>
            <w:r w:rsidRPr="001D08BC">
              <w:rPr>
                <w:noProof/>
                <w:sz w:val="24"/>
                <w:szCs w:val="24"/>
                <w:lang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</w:t>
            </w:r>
          </w:p>
        </w:tc>
        <w:tc>
          <w:tcPr>
            <w:tcW w:w="24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60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В день надходження заяви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3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 xml:space="preserve">Видача заявнику опису, за яким приймаються документи, </w:t>
            </w: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>з відміткою про дату їх отримання та кодом доступу в той спосіб, відповідно до якого були подані документи</w:t>
            </w:r>
          </w:p>
        </w:tc>
        <w:tc>
          <w:tcPr>
            <w:tcW w:w="24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60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color w:val="FF0000"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В день надходження заяви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tabs>
                <w:tab w:val="left" w:pos="315"/>
              </w:tabs>
              <w:jc w:val="center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4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tabs>
                <w:tab w:val="left" w:pos="315"/>
              </w:tabs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Перевірка документів, які подані для проведення підтвердження відомостей про кінцевого бенефіціарного власника юридичної особи на відсутність підстав зупинення їх розгляду</w:t>
            </w:r>
          </w:p>
        </w:tc>
        <w:tc>
          <w:tcPr>
            <w:tcW w:w="24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60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Протягом 24 годин, крім вихідних та святкових днів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tabs>
                <w:tab w:val="left" w:pos="315"/>
              </w:tabs>
              <w:jc w:val="center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5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tabs>
                <w:tab w:val="left" w:pos="315"/>
              </w:tabs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Перевірка документів, які подані для проведення підтвердження відомостей про кінцевого бенефіціарного власника юридичної особи, на відсутність підстав для відмови у проведенні державної реєстрації</w:t>
            </w:r>
          </w:p>
        </w:tc>
        <w:tc>
          <w:tcPr>
            <w:tcW w:w="24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60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Протягом 24 годин, крім вихідних та святкових днів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pStyle w:val="a4"/>
              <w:tabs>
                <w:tab w:val="left" w:pos="315"/>
              </w:tabs>
              <w:ind w:left="0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1D08BC">
              <w:rPr>
                <w:noProof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pStyle w:val="a4"/>
              <w:tabs>
                <w:tab w:val="left" w:pos="315"/>
              </w:tabs>
              <w:ind w:left="0"/>
              <w:rPr>
                <w:noProof/>
                <w:sz w:val="24"/>
                <w:szCs w:val="24"/>
                <w:lang w:eastAsia="uk-UA"/>
              </w:rPr>
            </w:pPr>
            <w:r w:rsidRPr="001D08BC">
              <w:rPr>
                <w:noProof/>
                <w:color w:val="000000"/>
                <w:sz w:val="24"/>
                <w:szCs w:val="24"/>
                <w:shd w:val="clear" w:color="auto" w:fill="FFFFFF"/>
              </w:rPr>
              <w:t xml:space="preserve">Повідомлення про зупинення розгляду документів із зазначенням строку (15 календарних днів з дати їх зупинення) та виключного </w:t>
            </w:r>
            <w:r w:rsidRPr="001D08BC">
              <w:rPr>
                <w:noProof/>
                <w:color w:val="000000"/>
                <w:sz w:val="24"/>
                <w:szCs w:val="24"/>
                <w:shd w:val="clear" w:color="auto" w:fill="FFFFFF"/>
              </w:rPr>
              <w:lastRenderedPageBreak/>
              <w:t>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Pr="001D08BC">
              <w:rPr>
                <w:rStyle w:val="apple-converted-space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4" w:tgtFrame="_blank" w:history="1">
              <w:r w:rsidRPr="001D08BC">
                <w:rPr>
                  <w:rStyle w:val="a3"/>
                  <w:noProof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Pr="001D08BC">
              <w:rPr>
                <w:rStyle w:val="apple-converted-space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D08BC">
              <w:rPr>
                <w:noProof/>
                <w:color w:val="000000"/>
                <w:sz w:val="24"/>
                <w:szCs w:val="24"/>
                <w:shd w:val="clear" w:color="auto" w:fill="FFFFFF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24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60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color w:val="000000"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У день зупинення розгляду документів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pStyle w:val="a4"/>
              <w:tabs>
                <w:tab w:val="left" w:pos="315"/>
              </w:tabs>
              <w:ind w:left="0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1D08BC">
              <w:rPr>
                <w:noProof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pStyle w:val="a4"/>
              <w:tabs>
                <w:tab w:val="left" w:pos="315"/>
              </w:tabs>
              <w:ind w:left="0"/>
              <w:rPr>
                <w:noProof/>
                <w:sz w:val="24"/>
                <w:szCs w:val="24"/>
                <w:lang w:eastAsia="uk-UA"/>
              </w:rPr>
            </w:pPr>
            <w:r w:rsidRPr="001D08BC">
              <w:rPr>
                <w:noProof/>
                <w:color w:val="000000"/>
                <w:sz w:val="24"/>
                <w:szCs w:val="24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</w:r>
          </w:p>
        </w:tc>
        <w:tc>
          <w:tcPr>
            <w:tcW w:w="23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692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У день відмови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pStyle w:val="a4"/>
              <w:tabs>
                <w:tab w:val="left" w:pos="315"/>
              </w:tabs>
              <w:ind w:left="0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1D08BC">
              <w:rPr>
                <w:noProof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pStyle w:val="a4"/>
              <w:tabs>
                <w:tab w:val="left" w:pos="315"/>
              </w:tabs>
              <w:ind w:left="0"/>
              <w:rPr>
                <w:noProof/>
                <w:sz w:val="24"/>
                <w:szCs w:val="24"/>
                <w:lang w:eastAsia="uk-UA"/>
              </w:rPr>
            </w:pPr>
            <w:r w:rsidRPr="001D08BC">
              <w:rPr>
                <w:noProof/>
                <w:sz w:val="24"/>
                <w:szCs w:val="24"/>
                <w:lang w:eastAsia="uk-UA"/>
              </w:rPr>
              <w:t>Внесення до Єдиного державного реєстру юридичних осіб та фізичних осіб – підприємців запису про підтвердження відомостей про кінцевого бенефіціарного власника юридичної особи – у разі відсутності підстав для відмови у проведенні державної реєстрації та зупинення розгляду документів</w:t>
            </w:r>
          </w:p>
        </w:tc>
        <w:tc>
          <w:tcPr>
            <w:tcW w:w="23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692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pStyle w:val="a4"/>
              <w:tabs>
                <w:tab w:val="left" w:pos="315"/>
              </w:tabs>
              <w:ind w:left="0"/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1D08BC">
              <w:rPr>
                <w:noProof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pStyle w:val="a4"/>
              <w:tabs>
                <w:tab w:val="left" w:pos="315"/>
              </w:tabs>
              <w:ind w:left="0"/>
              <w:rPr>
                <w:noProof/>
                <w:sz w:val="24"/>
                <w:szCs w:val="24"/>
                <w:lang w:eastAsia="uk-UA"/>
              </w:rPr>
            </w:pPr>
            <w:r w:rsidRPr="001D08BC">
              <w:rPr>
                <w:noProof/>
                <w:color w:val="000000"/>
                <w:sz w:val="24"/>
                <w:szCs w:val="24"/>
                <w:shd w:val="clear" w:color="auto" w:fill="FFFFFF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1D08BC">
              <w:rPr>
                <w:noProof/>
                <w:color w:val="000000"/>
                <w:sz w:val="24"/>
                <w:szCs w:val="24"/>
                <w:shd w:val="clear" w:color="auto" w:fill="FFFFFF"/>
                <w:lang w:bidi="he-IL"/>
              </w:rPr>
              <w:t xml:space="preserve">"Про </w:t>
            </w:r>
            <w:r w:rsidRPr="001D08BC">
              <w:rPr>
                <w:noProof/>
                <w:color w:val="000000"/>
                <w:sz w:val="24"/>
                <w:szCs w:val="24"/>
                <w:shd w:val="clear" w:color="auto" w:fill="FFFFFF"/>
                <w:lang w:bidi="he-IL"/>
              </w:rPr>
              <w:lastRenderedPageBreak/>
              <w:t>державну реєстрацію юридичних осіб, фізичних осіб-підприємців та громадських формувань"</w:t>
            </w:r>
            <w:r w:rsidRPr="001D08BC">
              <w:rPr>
                <w:noProof/>
                <w:color w:val="000000"/>
                <w:sz w:val="24"/>
                <w:szCs w:val="24"/>
                <w:shd w:val="clear" w:color="auto" w:fill="FFFFFF"/>
              </w:rPr>
              <w:t>, здійснюється інформаційно-телекомунікаційними засобами в електронній формі у</w:t>
            </w:r>
            <w:r w:rsidRPr="001D08BC">
              <w:rPr>
                <w:rStyle w:val="apple-converted-space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anchor="n24" w:tgtFrame="_blank" w:history="1">
              <w:r w:rsidRPr="001D08BC">
                <w:rPr>
                  <w:rStyle w:val="a3"/>
                  <w:noProof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порядку</w:t>
              </w:r>
            </w:hyperlink>
            <w:r w:rsidRPr="001D08BC">
              <w:rPr>
                <w:noProof/>
                <w:color w:val="000000"/>
                <w:sz w:val="24"/>
                <w:szCs w:val="24"/>
                <w:shd w:val="clear" w:color="auto" w:fill="FFFFFF"/>
              </w:rPr>
              <w:t>, визначеному Міністерством юстиції України спільно з відповідними державними органами.</w:t>
            </w:r>
          </w:p>
        </w:tc>
        <w:tc>
          <w:tcPr>
            <w:tcW w:w="23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692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У день державної реєстрації фізичної особи – підприємцем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lastRenderedPageBreak/>
              <w:t>10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1D08BC">
              <w:rPr>
                <w:noProof/>
                <w:lang w:val="uk-UA" w:eastAsia="uk-UA"/>
              </w:rPr>
              <w:t xml:space="preserve">(видаються, надсилаються поштовим відправленням): документи, що потребують усунення підстав для зупинення розгляду документів; </w:t>
            </w: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збору).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23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692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11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припинення відокремленого підрозділу юридичної особи (крім громадського формування)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>обов’язковим накладенням заявником власного електронного цифрового підпису та</w:t>
            </w:r>
            <w:r w:rsidRPr="001D08BC">
              <w:rPr>
                <w:noProof/>
                <w:lang w:val="uk-UA" w:eastAsia="uk-UA"/>
              </w:rPr>
              <w:t xml:space="preserve"> долучення до неї </w:t>
            </w: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 xml:space="preserve"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</w:t>
            </w: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сформованого за допомогою програмних засобів ведення Єдиного державного реєстру</w:t>
            </w:r>
          </w:p>
        </w:tc>
        <w:tc>
          <w:tcPr>
            <w:tcW w:w="23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692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1D08BC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lastRenderedPageBreak/>
              <w:t>12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37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13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37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5D721F" w:rsidRPr="000C1F9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14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Перевірка документів, які подані для проведення підтвердження відомостей про кінцевого бенефіціарного власника юридичної особи, на відсутність підстав для відмови у проведенні державної реєстрації та відсутності підстав для зупинення розгляду документів.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37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 xml:space="preserve">Зупинення розгляду документів та </w:t>
            </w:r>
            <w:r w:rsidRPr="001D08BC">
              <w:rPr>
                <w:noProof/>
                <w:lang w:val="uk-UA" w:eastAsia="uk-UA"/>
              </w:rPr>
              <w:t>відмова у проведенні державної реєстрації</w:t>
            </w: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 xml:space="preserve"> здійснюється протягом 24 годин, крім вихідних та святкових днів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en-US"/>
              </w:rPr>
            </w:pPr>
            <w:r w:rsidRPr="001D08BC">
              <w:rPr>
                <w:noProof/>
                <w:lang w:val="uk-UA"/>
              </w:rPr>
              <w:t>15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/>
              </w:rPr>
              <w:t xml:space="preserve">У разі зупинення розгляду документів, які подані для </w:t>
            </w:r>
            <w:r w:rsidRPr="001D08BC">
              <w:rPr>
                <w:noProof/>
                <w:lang w:val="uk-UA" w:eastAsia="uk-UA"/>
              </w:rPr>
              <w:t>державної реєстрації припинення відокремленого підрозділу юридичної особи (крім громадського формування)</w:t>
            </w:r>
            <w:r w:rsidRPr="001D08BC">
              <w:rPr>
                <w:noProof/>
                <w:lang w:val="uk-UA"/>
              </w:rPr>
              <w:t xml:space="preserve">, </w:t>
            </w: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37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1D08BC">
              <w:rPr>
                <w:noProof/>
                <w:lang w:val="uk-UA" w:eastAsia="uk-UA"/>
              </w:rPr>
              <w:t>У день зупинення.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625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16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lang w:val="uk-UA" w:eastAsia="en-US"/>
              </w:rPr>
            </w:pPr>
            <w:r w:rsidRPr="001D08BC">
              <w:rPr>
                <w:noProof/>
                <w:lang w:val="uk-UA" w:eastAsia="uk-UA"/>
              </w:rPr>
              <w:t xml:space="preserve">За наявності підстав для відмови у державній реєстрації, </w:t>
            </w: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 xml:space="preserve"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</w:t>
            </w: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розміщуються на порталі електронних сервісів у день відмови у державній реєстрації.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737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У день відмови.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lastRenderedPageBreak/>
              <w:t>17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</w:r>
          </w:p>
        </w:tc>
        <w:tc>
          <w:tcPr>
            <w:tcW w:w="22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22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18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 xml:space="preserve">Формування виписки за допомогою програмних засобів ведення ЄДР, яка розміщується на порталі електронних сервісів (у разі формування виписки за результатом проведення реєстраційної дії). </w:t>
            </w:r>
            <w:r w:rsidRPr="001D08BC">
              <w:rPr>
                <w:noProof/>
                <w:shd w:val="clear" w:color="auto" w:fill="FFFFFF"/>
                <w:lang w:val="uk-UA"/>
              </w:rPr>
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</w:r>
            <w:r w:rsidRPr="001D08BC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hyperlink r:id="rId6" w:tgtFrame="_blank" w:history="1">
              <w:r w:rsidRPr="001D08BC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Законом України</w:t>
              </w:r>
            </w:hyperlink>
            <w:r w:rsidRPr="001D08BC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r w:rsidRPr="001D08BC">
              <w:rPr>
                <w:noProof/>
                <w:shd w:val="clear" w:color="auto" w:fill="FFFFFF"/>
                <w:lang w:val="uk-UA"/>
              </w:rPr>
              <w:t>«Про нотаріат» (у випадку якщо державним реєстратором є нотаріус).</w:t>
            </w:r>
          </w:p>
        </w:tc>
        <w:tc>
          <w:tcPr>
            <w:tcW w:w="22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22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3724B3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1D08BC">
              <w:rPr>
                <w:noProof/>
                <w:lang w:val="uk-UA" w:eastAsia="uk-UA"/>
              </w:rPr>
              <w:t>У день формування виписки в ЄДР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jc w:val="center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19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22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D721F" w:rsidRPr="001D08BC" w:rsidRDefault="005D721F" w:rsidP="00D7340A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722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D7340A">
            <w:pPr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1D08BC">
              <w:rPr>
                <w:noProof/>
                <w:lang w:val="uk-UA" w:eastAsia="uk-UA"/>
              </w:rPr>
              <w:t>Протягом трьох років</w:t>
            </w:r>
          </w:p>
        </w:tc>
      </w:tr>
      <w:tr w:rsidR="005D721F" w:rsidRPr="001D08BC" w:rsidTr="003724B3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550" w:type="dxa"/>
        </w:trPr>
        <w:tc>
          <w:tcPr>
            <w:tcW w:w="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3724B3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1D08BC">
              <w:rPr>
                <w:noProof/>
                <w:lang w:val="uk-UA" w:eastAsia="uk-UA"/>
              </w:rPr>
              <w:t>20</w:t>
            </w:r>
          </w:p>
        </w:tc>
        <w:tc>
          <w:tcPr>
            <w:tcW w:w="3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1D08BC">
              <w:rPr>
                <w:noProof/>
                <w:lang w:val="uk-UA" w:eastAsia="uk-UA"/>
              </w:rPr>
              <w:t xml:space="preserve">(видаються, надсилаються поштовим відправленням): документи, що потребують усунення підстав для зупинення розгляду документів; </w:t>
            </w: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22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1D08BC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722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3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21F" w:rsidRPr="001D08BC" w:rsidRDefault="005D721F" w:rsidP="00D7340A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1D08BC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</w:tbl>
    <w:tbl>
      <w:tblPr>
        <w:tblStyle w:val="a5"/>
        <w:tblW w:w="9747" w:type="dxa"/>
        <w:tblLook w:val="04A0"/>
      </w:tblPr>
      <w:tblGrid>
        <w:gridCol w:w="9747"/>
      </w:tblGrid>
      <w:tr w:rsidR="005D721F" w:rsidTr="005D721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B3" w:rsidRDefault="003724B3">
            <w:pPr>
              <w:rPr>
                <w:b/>
                <w:sz w:val="24"/>
                <w:szCs w:val="24"/>
                <w:lang w:val="uk-UA"/>
              </w:rPr>
            </w:pPr>
          </w:p>
          <w:p w:rsidR="005D721F" w:rsidRDefault="005D721F">
            <w:pPr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Загальна кількість днів надання послуги -  1день</w:t>
            </w:r>
          </w:p>
        </w:tc>
      </w:tr>
      <w:tr w:rsidR="005D721F" w:rsidTr="005D721F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1F" w:rsidRDefault="005D721F">
            <w:pPr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 xml:space="preserve">Загальна кількість днів  - 30 днів </w:t>
            </w:r>
          </w:p>
        </w:tc>
      </w:tr>
    </w:tbl>
    <w:p w:rsidR="001D08BC" w:rsidRPr="001D08BC" w:rsidRDefault="001D08BC" w:rsidP="00D7340A">
      <w:pPr>
        <w:ind w:firstLine="426"/>
        <w:jc w:val="both"/>
        <w:rPr>
          <w:noProof/>
          <w:lang w:val="uk-UA" w:eastAsia="uk-UA"/>
        </w:rPr>
      </w:pPr>
    </w:p>
    <w:sectPr w:rsidR="001D08BC" w:rsidRPr="001D08BC" w:rsidSect="00DE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5E423F"/>
    <w:rsid w:val="000C1F9C"/>
    <w:rsid w:val="00135815"/>
    <w:rsid w:val="001D08BC"/>
    <w:rsid w:val="002B3CEA"/>
    <w:rsid w:val="003724B3"/>
    <w:rsid w:val="004152D6"/>
    <w:rsid w:val="005D721F"/>
    <w:rsid w:val="005E423F"/>
    <w:rsid w:val="00774683"/>
    <w:rsid w:val="00CF0BAF"/>
    <w:rsid w:val="00D7340A"/>
    <w:rsid w:val="00D87029"/>
    <w:rsid w:val="00DE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0BAF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CF0BAF"/>
  </w:style>
  <w:style w:type="paragraph" w:styleId="a4">
    <w:name w:val="List Paragraph"/>
    <w:basedOn w:val="a"/>
    <w:uiPriority w:val="99"/>
    <w:qFormat/>
    <w:rsid w:val="001D08BC"/>
    <w:pPr>
      <w:suppressAutoHyphens w:val="0"/>
      <w:ind w:left="720"/>
      <w:jc w:val="both"/>
    </w:pPr>
    <w:rPr>
      <w:sz w:val="28"/>
      <w:szCs w:val="28"/>
      <w:lang w:val="uk-UA" w:eastAsia="en-US"/>
    </w:rPr>
  </w:style>
  <w:style w:type="table" w:styleId="a5">
    <w:name w:val="Table Grid"/>
    <w:basedOn w:val="a1"/>
    <w:uiPriority w:val="39"/>
    <w:rsid w:val="005D7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9</cp:revision>
  <cp:lastPrinted>2022-05-16T10:12:00Z</cp:lastPrinted>
  <dcterms:created xsi:type="dcterms:W3CDTF">2022-02-06T18:42:00Z</dcterms:created>
  <dcterms:modified xsi:type="dcterms:W3CDTF">2025-01-23T10:49:00Z</dcterms:modified>
</cp:coreProperties>
</file>